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C1C9" w14:textId="77777777" w:rsidR="0059293F" w:rsidRPr="00666ABC" w:rsidRDefault="6C8D6F0E" w:rsidP="0059293F">
      <w:pPr>
        <w:jc w:val="center"/>
        <w:rPr>
          <w:rFonts w:ascii="Arial" w:hAnsi="Arial" w:cs="Arial"/>
        </w:rPr>
      </w:pPr>
      <w:r>
        <w:t xml:space="preserve"> </w:t>
      </w:r>
      <w:r w:rsidR="0059293F" w:rsidRPr="00812277">
        <w:rPr>
          <w:rFonts w:ascii="Arial" w:hAnsi="Arial"/>
          <w:b/>
          <w:noProof/>
          <w:sz w:val="32"/>
        </w:rPr>
        <w:drawing>
          <wp:inline distT="0" distB="0" distL="0" distR="0" wp14:anchorId="59F0B306" wp14:editId="1A93CC56">
            <wp:extent cx="3023755" cy="8377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cstate="print">
                      <a:extLst>
                        <a:ext uri="{28A0092B-C50C-407E-A947-70E740481C1C}">
                          <a14:useLocalDpi xmlns:a14="http://schemas.microsoft.com/office/drawing/2010/main" val="0"/>
                        </a:ext>
                      </a:extLst>
                    </a:blip>
                    <a:srcRect l="-3" t="25034" r="3" b="25711"/>
                    <a:stretch/>
                  </pic:blipFill>
                  <pic:spPr bwMode="auto">
                    <a:xfrm>
                      <a:off x="0" y="0"/>
                      <a:ext cx="3083283" cy="854239"/>
                    </a:xfrm>
                    <a:prstGeom prst="rect">
                      <a:avLst/>
                    </a:prstGeom>
                    <a:ln>
                      <a:noFill/>
                    </a:ln>
                    <a:extLst>
                      <a:ext uri="{53640926-AAD7-44D8-BBD7-CCE9431645EC}">
                        <a14:shadowObscured xmlns:a14="http://schemas.microsoft.com/office/drawing/2010/main"/>
                      </a:ext>
                    </a:extLst>
                  </pic:spPr>
                </pic:pic>
              </a:graphicData>
            </a:graphic>
          </wp:inline>
        </w:drawing>
      </w:r>
    </w:p>
    <w:p w14:paraId="2DA8EF32" w14:textId="2FB6E54D" w:rsidR="0059293F" w:rsidRDefault="0059293F" w:rsidP="0059293F">
      <w:pPr>
        <w:jc w:val="center"/>
        <w:outlineLvl w:val="0"/>
        <w:rPr>
          <w:rFonts w:ascii="Arial" w:hAnsi="Arial" w:cs="Arial"/>
          <w:b/>
          <w:sz w:val="32"/>
          <w:szCs w:val="32"/>
        </w:rPr>
      </w:pPr>
      <w:r w:rsidRPr="002626E9">
        <w:rPr>
          <w:rFonts w:ascii="Arial" w:hAnsi="Arial" w:cs="Arial"/>
          <w:b/>
          <w:sz w:val="32"/>
          <w:szCs w:val="32"/>
        </w:rPr>
        <w:t>NEWS RELEASE</w:t>
      </w:r>
    </w:p>
    <w:p w14:paraId="16877C3D" w14:textId="77777777" w:rsidR="005F0849" w:rsidRPr="00662605" w:rsidRDefault="005F0849" w:rsidP="005F0849">
      <w:pPr>
        <w:spacing w:after="0"/>
        <w:jc w:val="center"/>
        <w:outlineLvl w:val="0"/>
        <w:rPr>
          <w:rFonts w:ascii="Arial" w:hAnsi="Arial" w:cs="Arial"/>
          <w:b/>
          <w:sz w:val="28"/>
          <w:szCs w:val="28"/>
        </w:rPr>
      </w:pPr>
    </w:p>
    <w:p w14:paraId="2562F487" w14:textId="77777777" w:rsidR="005F0849" w:rsidRDefault="005F0849" w:rsidP="005F0849">
      <w:pPr>
        <w:spacing w:after="0"/>
        <w:rPr>
          <w:rFonts w:ascii="Arial" w:hAnsi="Arial" w:cs="Arial"/>
          <w:b/>
        </w:rPr>
      </w:pPr>
      <w:r w:rsidRPr="002626E9">
        <w:rPr>
          <w:rFonts w:ascii="Arial" w:hAnsi="Arial" w:cs="Arial"/>
          <w:b/>
        </w:rPr>
        <w:t xml:space="preserve">NZC-TSX </w:t>
      </w:r>
    </w:p>
    <w:p w14:paraId="6E6E5087" w14:textId="5276B97E" w:rsidR="005F0849" w:rsidRPr="005F0849" w:rsidRDefault="005F0849" w:rsidP="005F0849">
      <w:pPr>
        <w:jc w:val="both"/>
        <w:rPr>
          <w:rFonts w:ascii="Arial" w:hAnsi="Arial" w:cs="Arial"/>
          <w:b/>
          <w:bCs/>
          <w:sz w:val="20"/>
          <w:szCs w:val="20"/>
        </w:rPr>
      </w:pPr>
      <w:r w:rsidRPr="002626E9">
        <w:rPr>
          <w:rFonts w:ascii="Arial" w:hAnsi="Arial" w:cs="Arial"/>
          <w:b/>
        </w:rPr>
        <w:t>NORZF-OTCQB</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626E9">
        <w:rPr>
          <w:rFonts w:ascii="Arial" w:hAnsi="Arial" w:cs="Arial"/>
          <w:b/>
        </w:rPr>
        <w:t>FOR IMMEDIATE RELEASE</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9"/>
      </w:tblGrid>
      <w:tr w:rsidR="009B38B8" w:rsidRPr="002626E9" w14:paraId="5E073C7B" w14:textId="77777777" w:rsidTr="005F0849">
        <w:trPr>
          <w:trHeight w:val="685"/>
          <w:jc w:val="center"/>
        </w:trPr>
        <w:tc>
          <w:tcPr>
            <w:tcW w:w="5000" w:type="pct"/>
          </w:tcPr>
          <w:p w14:paraId="283A421E" w14:textId="6FB528A8" w:rsidR="009B38B8" w:rsidRPr="009E6866" w:rsidRDefault="009B38B8" w:rsidP="009B38B8">
            <w:pPr>
              <w:spacing w:before="240"/>
              <w:jc w:val="center"/>
              <w:rPr>
                <w:rFonts w:ascii="Arial" w:hAnsi="Arial" w:cs="Arial"/>
                <w:b/>
              </w:rPr>
            </w:pPr>
            <w:r w:rsidRPr="001B64D2">
              <w:rPr>
                <w:rFonts w:ascii="Arial" w:hAnsi="Arial" w:cs="Arial"/>
                <w:b/>
              </w:rPr>
              <w:t>NORZINC CLOSES $</w:t>
            </w:r>
            <w:r w:rsidR="00B71FB7">
              <w:rPr>
                <w:rFonts w:ascii="Arial" w:hAnsi="Arial" w:cs="Arial"/>
                <w:b/>
              </w:rPr>
              <w:t>3.3M</w:t>
            </w:r>
            <w:r w:rsidR="00901B03">
              <w:t xml:space="preserve"> </w:t>
            </w:r>
            <w:r w:rsidRPr="001B64D2">
              <w:rPr>
                <w:rFonts w:ascii="Arial" w:hAnsi="Arial" w:cs="Arial"/>
                <w:b/>
              </w:rPr>
              <w:t>PRIVATE PLACEMENT</w:t>
            </w:r>
            <w:r w:rsidR="00BF78F1">
              <w:rPr>
                <w:rFonts w:ascii="Arial" w:hAnsi="Arial" w:cs="Arial"/>
                <w:b/>
              </w:rPr>
              <w:t xml:space="preserve"> TO INITIATE CONSTRUCTION OF PIONEER WINTER ROAD</w:t>
            </w:r>
          </w:p>
        </w:tc>
      </w:tr>
    </w:tbl>
    <w:p w14:paraId="56A834BE" w14:textId="2C190521" w:rsidR="0059293F" w:rsidRDefault="0059293F" w:rsidP="000967B7">
      <w:pPr>
        <w:spacing w:after="0" w:line="240" w:lineRule="auto"/>
        <w:jc w:val="both"/>
        <w:rPr>
          <w:rFonts w:ascii="Arial" w:hAnsi="Arial" w:cs="Arial"/>
          <w:b/>
          <w:bCs/>
          <w:sz w:val="20"/>
          <w:szCs w:val="20"/>
        </w:rPr>
      </w:pPr>
      <w:bookmarkStart w:id="0" w:name="_Hlk12214099"/>
    </w:p>
    <w:bookmarkEnd w:id="0"/>
    <w:p w14:paraId="2724EB8C" w14:textId="1498FFE8" w:rsidR="00693940" w:rsidRDefault="00901B03" w:rsidP="00693940">
      <w:pPr>
        <w:jc w:val="both"/>
      </w:pPr>
      <w:r>
        <w:rPr>
          <w:rFonts w:ascii="Arial" w:hAnsi="Arial" w:cs="Arial"/>
          <w:b/>
          <w:bCs/>
          <w:sz w:val="20"/>
          <w:szCs w:val="20"/>
        </w:rPr>
        <w:t>December</w:t>
      </w:r>
      <w:r w:rsidRPr="00AC6DA2">
        <w:rPr>
          <w:rFonts w:ascii="Arial" w:hAnsi="Arial" w:cs="Arial"/>
          <w:b/>
          <w:bCs/>
          <w:sz w:val="20"/>
          <w:szCs w:val="20"/>
        </w:rPr>
        <w:t xml:space="preserve"> </w:t>
      </w:r>
      <w:r w:rsidR="00AC6DA2" w:rsidRPr="00AC6DA2">
        <w:rPr>
          <w:b/>
          <w:bCs/>
        </w:rPr>
        <w:t>1</w:t>
      </w:r>
      <w:r w:rsidR="001C20F0">
        <w:rPr>
          <w:b/>
          <w:bCs/>
        </w:rPr>
        <w:t>3</w:t>
      </w:r>
      <w:r w:rsidR="009B38B8">
        <w:rPr>
          <w:rFonts w:ascii="Arial" w:hAnsi="Arial" w:cs="Arial"/>
          <w:b/>
          <w:bCs/>
          <w:sz w:val="20"/>
          <w:szCs w:val="20"/>
        </w:rPr>
        <w:t>, 2021</w:t>
      </w:r>
      <w:r w:rsidR="009B38B8" w:rsidRPr="00C73AB8">
        <w:rPr>
          <w:rFonts w:ascii="Arial" w:hAnsi="Arial" w:cs="Arial"/>
          <w:b/>
          <w:bCs/>
          <w:sz w:val="20"/>
          <w:szCs w:val="20"/>
        </w:rPr>
        <w:t xml:space="preserve"> ─ Vancouver, British Columbia ─ NorZinc Ltd. </w:t>
      </w:r>
      <w:r w:rsidR="009B38B8" w:rsidRPr="00C73AB8">
        <w:rPr>
          <w:rFonts w:ascii="Arial" w:hAnsi="Arial" w:cs="Arial"/>
          <w:sz w:val="20"/>
          <w:szCs w:val="20"/>
        </w:rPr>
        <w:t>(TSX: NZC; OTCQB: NORZF) (the “</w:t>
      </w:r>
      <w:r w:rsidR="009B38B8" w:rsidRPr="00C73AB8">
        <w:rPr>
          <w:rFonts w:ascii="Arial" w:hAnsi="Arial" w:cs="Arial"/>
          <w:b/>
          <w:bCs/>
          <w:sz w:val="20"/>
          <w:szCs w:val="20"/>
        </w:rPr>
        <w:t>Company</w:t>
      </w:r>
      <w:r w:rsidR="009B38B8" w:rsidRPr="00C73AB8">
        <w:rPr>
          <w:rFonts w:ascii="Arial" w:hAnsi="Arial" w:cs="Arial"/>
          <w:sz w:val="20"/>
          <w:szCs w:val="20"/>
        </w:rPr>
        <w:t>” or “</w:t>
      </w:r>
      <w:r w:rsidR="009B38B8" w:rsidRPr="00C73AB8">
        <w:rPr>
          <w:rFonts w:ascii="Arial" w:hAnsi="Arial" w:cs="Arial"/>
          <w:b/>
          <w:bCs/>
          <w:sz w:val="20"/>
          <w:szCs w:val="20"/>
        </w:rPr>
        <w:t>NorZinc</w:t>
      </w:r>
      <w:r w:rsidR="009B38B8" w:rsidRPr="00C73AB8">
        <w:rPr>
          <w:rFonts w:ascii="Arial" w:hAnsi="Arial" w:cs="Arial"/>
          <w:sz w:val="20"/>
          <w:szCs w:val="20"/>
        </w:rPr>
        <w:t xml:space="preserve">”) is pleased to </w:t>
      </w:r>
      <w:r w:rsidR="009B38B8" w:rsidRPr="00C73AB8">
        <w:rPr>
          <w:rFonts w:ascii="Arial" w:eastAsia="Arial" w:hAnsi="Arial" w:cs="Arial"/>
          <w:bCs/>
          <w:sz w:val="20"/>
          <w:szCs w:val="20"/>
        </w:rPr>
        <w:t xml:space="preserve">announce </w:t>
      </w:r>
      <w:r w:rsidR="009B38B8">
        <w:rPr>
          <w:rFonts w:ascii="Arial" w:eastAsia="Arial" w:hAnsi="Arial" w:cs="Arial"/>
          <w:bCs/>
          <w:sz w:val="20"/>
          <w:szCs w:val="20"/>
        </w:rPr>
        <w:t>the closing of an equity financing agreement (the “</w:t>
      </w:r>
      <w:r w:rsidR="009B38B8" w:rsidRPr="00C21E6E">
        <w:rPr>
          <w:rFonts w:ascii="Arial" w:eastAsia="Arial" w:hAnsi="Arial" w:cs="Arial"/>
          <w:b/>
          <w:bCs/>
          <w:sz w:val="20"/>
          <w:szCs w:val="20"/>
        </w:rPr>
        <w:t>Equity F</w:t>
      </w:r>
      <w:r w:rsidR="009B38B8">
        <w:rPr>
          <w:rFonts w:ascii="Arial" w:eastAsia="Arial" w:hAnsi="Arial" w:cs="Arial"/>
          <w:b/>
          <w:bCs/>
          <w:sz w:val="20"/>
          <w:szCs w:val="20"/>
        </w:rPr>
        <w:t>inancing</w:t>
      </w:r>
      <w:r w:rsidR="009B38B8">
        <w:rPr>
          <w:rFonts w:ascii="Arial" w:eastAsia="Arial" w:hAnsi="Arial" w:cs="Arial"/>
          <w:bCs/>
          <w:sz w:val="20"/>
          <w:szCs w:val="20"/>
        </w:rPr>
        <w:t>”) with RCF VI CAD LLC</w:t>
      </w:r>
      <w:r w:rsidR="009B38B8" w:rsidRPr="00C73AB8">
        <w:rPr>
          <w:rFonts w:ascii="Arial" w:eastAsia="Arial" w:hAnsi="Arial" w:cs="Arial"/>
          <w:bCs/>
          <w:sz w:val="20"/>
          <w:szCs w:val="20"/>
        </w:rPr>
        <w:t xml:space="preserve"> </w:t>
      </w:r>
      <w:r w:rsidR="009B38B8">
        <w:rPr>
          <w:rFonts w:ascii="Arial" w:eastAsia="Arial" w:hAnsi="Arial" w:cs="Arial"/>
          <w:bCs/>
          <w:sz w:val="20"/>
          <w:szCs w:val="20"/>
        </w:rPr>
        <w:t>(“</w:t>
      </w:r>
      <w:r w:rsidR="009B38B8" w:rsidRPr="00C21E6E">
        <w:rPr>
          <w:rFonts w:ascii="Arial" w:eastAsia="Arial" w:hAnsi="Arial" w:cs="Arial"/>
          <w:b/>
          <w:bCs/>
          <w:sz w:val="20"/>
          <w:szCs w:val="20"/>
        </w:rPr>
        <w:t>RCF</w:t>
      </w:r>
      <w:r w:rsidR="009B38B8">
        <w:rPr>
          <w:rFonts w:ascii="Arial" w:eastAsia="Arial" w:hAnsi="Arial" w:cs="Arial"/>
          <w:bCs/>
          <w:sz w:val="20"/>
          <w:szCs w:val="20"/>
        </w:rPr>
        <w:t>”). Pursuant to the Equity Financing, the Company issued an aggregate of</w:t>
      </w:r>
      <w:r w:rsidR="00B71FB7">
        <w:rPr>
          <w:rFonts w:ascii="Arial" w:eastAsia="Arial" w:hAnsi="Arial" w:cs="Arial"/>
          <w:bCs/>
          <w:sz w:val="20"/>
          <w:szCs w:val="20"/>
        </w:rPr>
        <w:t xml:space="preserve"> 68,451,708 </w:t>
      </w:r>
      <w:r w:rsidR="009B38B8" w:rsidRPr="00C73AB8">
        <w:rPr>
          <w:rFonts w:ascii="Arial" w:eastAsia="Arial" w:hAnsi="Arial" w:cs="Arial"/>
          <w:bCs/>
          <w:sz w:val="20"/>
          <w:szCs w:val="20"/>
        </w:rPr>
        <w:t>common shares of the Company</w:t>
      </w:r>
      <w:r w:rsidR="009B38B8">
        <w:rPr>
          <w:rFonts w:ascii="Arial" w:eastAsia="Arial" w:hAnsi="Arial" w:cs="Arial"/>
          <w:bCs/>
          <w:sz w:val="20"/>
          <w:szCs w:val="20"/>
        </w:rPr>
        <w:t xml:space="preserve"> (“</w:t>
      </w:r>
      <w:r w:rsidR="009B38B8" w:rsidRPr="00034D02">
        <w:rPr>
          <w:rFonts w:ascii="Arial" w:eastAsia="Arial" w:hAnsi="Arial" w:cs="Arial"/>
          <w:b/>
          <w:bCs/>
          <w:sz w:val="20"/>
          <w:szCs w:val="20"/>
        </w:rPr>
        <w:t>Common Shares</w:t>
      </w:r>
      <w:r w:rsidR="009B38B8">
        <w:rPr>
          <w:rFonts w:ascii="Arial" w:eastAsia="Arial" w:hAnsi="Arial" w:cs="Arial"/>
          <w:bCs/>
          <w:sz w:val="20"/>
          <w:szCs w:val="20"/>
        </w:rPr>
        <w:t xml:space="preserve">”) to RCF on a non-brokered private placement basis, at a price of </w:t>
      </w:r>
      <w:r w:rsidR="00B71FB7">
        <w:rPr>
          <w:rFonts w:ascii="Arial" w:eastAsia="Arial" w:hAnsi="Arial" w:cs="Arial"/>
          <w:bCs/>
          <w:sz w:val="20"/>
          <w:szCs w:val="20"/>
        </w:rPr>
        <w:t>$0.048363</w:t>
      </w:r>
      <w:r>
        <w:t xml:space="preserve"> </w:t>
      </w:r>
      <w:r w:rsidR="009B38B8">
        <w:rPr>
          <w:rFonts w:ascii="Arial" w:eastAsia="Arial" w:hAnsi="Arial" w:cs="Arial"/>
          <w:bCs/>
          <w:sz w:val="20"/>
          <w:szCs w:val="20"/>
        </w:rPr>
        <w:t xml:space="preserve">per share for gross proceeds of approximately </w:t>
      </w:r>
      <w:r w:rsidR="00B71FB7">
        <w:rPr>
          <w:rFonts w:ascii="Arial" w:eastAsia="Arial" w:hAnsi="Arial" w:cs="Arial"/>
          <w:bCs/>
          <w:sz w:val="20"/>
          <w:szCs w:val="20"/>
        </w:rPr>
        <w:t>$3.3 million</w:t>
      </w:r>
      <w:r>
        <w:t>.</w:t>
      </w:r>
      <w:r w:rsidR="00693940">
        <w:t xml:space="preserve"> </w:t>
      </w:r>
    </w:p>
    <w:p w14:paraId="17E66D4F" w14:textId="18E45EDB" w:rsidR="00901B03" w:rsidRPr="00693940" w:rsidRDefault="00693940" w:rsidP="009B38B8">
      <w:pPr>
        <w:jc w:val="both"/>
        <w:rPr>
          <w:rFonts w:ascii="Arial" w:eastAsia="Arial" w:hAnsi="Arial" w:cs="Arial"/>
          <w:bCs/>
          <w:sz w:val="20"/>
          <w:szCs w:val="20"/>
        </w:rPr>
      </w:pPr>
      <w:r w:rsidRPr="00C73AB8">
        <w:rPr>
          <w:rFonts w:ascii="Arial" w:eastAsia="Arial" w:hAnsi="Arial" w:cs="Arial"/>
          <w:bCs/>
          <w:sz w:val="20"/>
          <w:szCs w:val="20"/>
        </w:rPr>
        <w:t xml:space="preserve">The proceeds from the </w:t>
      </w:r>
      <w:r>
        <w:rPr>
          <w:rFonts w:ascii="Arial" w:eastAsia="Arial" w:hAnsi="Arial" w:cs="Arial"/>
          <w:bCs/>
          <w:sz w:val="20"/>
          <w:szCs w:val="20"/>
        </w:rPr>
        <w:t>Equity Financing</w:t>
      </w:r>
      <w:r w:rsidRPr="00C73AB8">
        <w:rPr>
          <w:rFonts w:ascii="Arial" w:eastAsia="Arial" w:hAnsi="Arial" w:cs="Arial"/>
          <w:bCs/>
          <w:sz w:val="20"/>
          <w:szCs w:val="20"/>
        </w:rPr>
        <w:t xml:space="preserve"> will be used</w:t>
      </w:r>
      <w:r>
        <w:rPr>
          <w:rFonts w:ascii="Arial" w:eastAsia="Arial" w:hAnsi="Arial" w:cs="Arial"/>
          <w:bCs/>
          <w:sz w:val="20"/>
          <w:szCs w:val="20"/>
        </w:rPr>
        <w:t xml:space="preserve"> </w:t>
      </w:r>
      <w:r w:rsidRPr="00E45C4B">
        <w:rPr>
          <w:rFonts w:ascii="Arial" w:eastAsia="Arial" w:hAnsi="Arial" w:cs="Arial"/>
          <w:bCs/>
          <w:sz w:val="20"/>
          <w:szCs w:val="20"/>
        </w:rPr>
        <w:t xml:space="preserve">to progress plans on </w:t>
      </w:r>
      <w:r w:rsidR="00CF3AA3">
        <w:rPr>
          <w:rFonts w:ascii="Arial" w:eastAsia="Arial" w:hAnsi="Arial" w:cs="Arial"/>
          <w:bCs/>
          <w:sz w:val="20"/>
          <w:szCs w:val="20"/>
        </w:rPr>
        <w:t>Phase 1 of the All-Season Road (</w:t>
      </w:r>
      <w:r w:rsidR="00D527E6">
        <w:rPr>
          <w:rFonts w:ascii="Arial" w:eastAsia="Arial" w:hAnsi="Arial" w:cs="Arial"/>
          <w:bCs/>
          <w:sz w:val="20"/>
          <w:szCs w:val="20"/>
        </w:rPr>
        <w:t>“</w:t>
      </w:r>
      <w:r w:rsidR="00CF3AA3" w:rsidRPr="00B71FB7">
        <w:rPr>
          <w:rFonts w:ascii="Arial" w:eastAsia="Arial" w:hAnsi="Arial" w:cs="Arial"/>
          <w:b/>
          <w:sz w:val="20"/>
          <w:szCs w:val="20"/>
        </w:rPr>
        <w:t>ASR</w:t>
      </w:r>
      <w:r w:rsidR="00D527E6">
        <w:rPr>
          <w:rFonts w:ascii="Arial" w:eastAsia="Arial" w:hAnsi="Arial" w:cs="Arial"/>
          <w:bCs/>
          <w:sz w:val="20"/>
          <w:szCs w:val="20"/>
        </w:rPr>
        <w:t>”</w:t>
      </w:r>
      <w:r w:rsidR="00CF3AA3">
        <w:rPr>
          <w:rFonts w:ascii="Arial" w:eastAsia="Arial" w:hAnsi="Arial" w:cs="Arial"/>
          <w:bCs/>
          <w:sz w:val="20"/>
          <w:szCs w:val="20"/>
        </w:rPr>
        <w:t>)</w:t>
      </w:r>
      <w:r w:rsidR="009B2808">
        <w:rPr>
          <w:rFonts w:ascii="Arial" w:eastAsia="Arial" w:hAnsi="Arial" w:cs="Arial"/>
          <w:bCs/>
          <w:sz w:val="20"/>
          <w:szCs w:val="20"/>
        </w:rPr>
        <w:t xml:space="preserve"> </w:t>
      </w:r>
      <w:r w:rsidRPr="00E45C4B">
        <w:rPr>
          <w:rFonts w:ascii="Arial" w:eastAsia="Arial" w:hAnsi="Arial" w:cs="Arial"/>
          <w:bCs/>
          <w:sz w:val="20"/>
          <w:szCs w:val="20"/>
        </w:rPr>
        <w:t xml:space="preserve">and other construction needs of the Prairie Creek Project </w:t>
      </w:r>
      <w:r w:rsidR="00B71FB7">
        <w:rPr>
          <w:rFonts w:ascii="Arial" w:eastAsia="Arial" w:hAnsi="Arial" w:cs="Arial"/>
          <w:bCs/>
          <w:sz w:val="20"/>
          <w:szCs w:val="20"/>
        </w:rPr>
        <w:t>as well as</w:t>
      </w:r>
      <w:r w:rsidRPr="00E45C4B">
        <w:rPr>
          <w:rFonts w:ascii="Arial" w:eastAsia="Arial" w:hAnsi="Arial" w:cs="Arial"/>
          <w:bCs/>
          <w:sz w:val="20"/>
          <w:szCs w:val="20"/>
        </w:rPr>
        <w:t xml:space="preserve"> for general corporate</w:t>
      </w:r>
      <w:r>
        <w:rPr>
          <w:rFonts w:ascii="Arial" w:eastAsia="Arial" w:hAnsi="Arial" w:cs="Arial"/>
          <w:bCs/>
          <w:sz w:val="20"/>
          <w:szCs w:val="20"/>
        </w:rPr>
        <w:t xml:space="preserve"> purposes. </w:t>
      </w:r>
    </w:p>
    <w:p w14:paraId="6F12E678" w14:textId="6B5814E9" w:rsidR="00E8224F" w:rsidRPr="000B2B87" w:rsidRDefault="009B38B8" w:rsidP="00E8224F">
      <w:pPr>
        <w:pStyle w:val="xmsonormal"/>
        <w:shd w:val="clear" w:color="auto" w:fill="FFFFFF"/>
        <w:spacing w:before="0" w:beforeAutospacing="0" w:after="0" w:afterAutospacing="0"/>
        <w:jc w:val="both"/>
        <w:rPr>
          <w:rFonts w:ascii="Arial" w:hAnsi="Arial" w:cs="Arial"/>
          <w:i/>
          <w:iCs/>
          <w:color w:val="201F1E"/>
          <w:sz w:val="20"/>
          <w:szCs w:val="20"/>
        </w:rPr>
      </w:pPr>
      <w:r w:rsidRPr="00D56720">
        <w:rPr>
          <w:rFonts w:ascii="Arial" w:eastAsia="Calibri" w:hAnsi="Arial" w:cs="Arial"/>
          <w:b/>
          <w:bCs/>
          <w:sz w:val="20"/>
          <w:szCs w:val="20"/>
        </w:rPr>
        <w:t>Rohan Hazelton, President &amp; CEO of NorZinc</w:t>
      </w:r>
      <w:r w:rsidRPr="00D56720">
        <w:rPr>
          <w:rFonts w:ascii="Arial" w:eastAsia="Calibri" w:hAnsi="Arial" w:cs="Arial"/>
          <w:sz w:val="20"/>
          <w:szCs w:val="20"/>
        </w:rPr>
        <w:t xml:space="preserve"> </w:t>
      </w:r>
      <w:r w:rsidR="00D56720" w:rsidRPr="00D56720">
        <w:rPr>
          <w:rFonts w:ascii="Arial" w:eastAsia="Calibri" w:hAnsi="Arial" w:cs="Arial"/>
          <w:sz w:val="20"/>
          <w:szCs w:val="20"/>
        </w:rPr>
        <w:t>s</w:t>
      </w:r>
      <w:r w:rsidRPr="00D56720">
        <w:rPr>
          <w:rFonts w:ascii="Arial" w:eastAsia="Calibri" w:hAnsi="Arial" w:cs="Arial"/>
          <w:sz w:val="20"/>
          <w:szCs w:val="20"/>
        </w:rPr>
        <w:t>tated</w:t>
      </w:r>
      <w:r w:rsidR="00063B6D">
        <w:rPr>
          <w:rFonts w:ascii="Arial" w:eastAsia="Calibri" w:hAnsi="Arial" w:cs="Arial"/>
          <w:sz w:val="20"/>
          <w:szCs w:val="20"/>
        </w:rPr>
        <w:t>,</w:t>
      </w:r>
      <w:r w:rsidRPr="00D56720">
        <w:rPr>
          <w:rFonts w:ascii="Arial" w:eastAsia="Calibri" w:hAnsi="Arial" w:cs="Arial"/>
          <w:sz w:val="20"/>
          <w:szCs w:val="20"/>
        </w:rPr>
        <w:t xml:space="preserve"> “</w:t>
      </w:r>
      <w:r w:rsidR="00BA46CD" w:rsidRPr="000B2B87">
        <w:rPr>
          <w:rFonts w:ascii="Arial" w:hAnsi="Arial" w:cs="Arial"/>
          <w:i/>
          <w:iCs/>
          <w:sz w:val="20"/>
          <w:szCs w:val="20"/>
        </w:rPr>
        <w:t xml:space="preserve">This represents </w:t>
      </w:r>
      <w:r w:rsidR="00EC59DD" w:rsidRPr="000B2B87">
        <w:rPr>
          <w:rFonts w:ascii="Arial" w:hAnsi="Arial" w:cs="Arial"/>
          <w:i/>
          <w:iCs/>
          <w:sz w:val="20"/>
          <w:szCs w:val="20"/>
        </w:rPr>
        <w:t>the most</w:t>
      </w:r>
      <w:r w:rsidR="00BA46CD" w:rsidRPr="000B2B87">
        <w:rPr>
          <w:rFonts w:ascii="Arial" w:hAnsi="Arial" w:cs="Arial"/>
          <w:i/>
          <w:iCs/>
          <w:sz w:val="20"/>
          <w:szCs w:val="20"/>
        </w:rPr>
        <w:t xml:space="preserve"> significant milestone</w:t>
      </w:r>
      <w:r w:rsidR="00EC59DD" w:rsidRPr="000B2B87">
        <w:rPr>
          <w:rFonts w:ascii="Arial" w:hAnsi="Arial" w:cs="Arial"/>
          <w:i/>
          <w:iCs/>
          <w:sz w:val="20"/>
          <w:szCs w:val="20"/>
        </w:rPr>
        <w:t xml:space="preserve"> yet</w:t>
      </w:r>
      <w:r w:rsidR="00BA46CD" w:rsidRPr="000B2B87">
        <w:rPr>
          <w:rFonts w:ascii="Arial" w:hAnsi="Arial" w:cs="Arial"/>
          <w:i/>
          <w:iCs/>
          <w:sz w:val="20"/>
          <w:szCs w:val="20"/>
        </w:rPr>
        <w:t xml:space="preserve"> in the </w:t>
      </w:r>
      <w:r w:rsidR="00693940" w:rsidRPr="000B2B87">
        <w:rPr>
          <w:rFonts w:ascii="Arial" w:hAnsi="Arial" w:cs="Arial"/>
          <w:i/>
          <w:iCs/>
          <w:sz w:val="20"/>
          <w:szCs w:val="20"/>
        </w:rPr>
        <w:t>advancement</w:t>
      </w:r>
      <w:r w:rsidR="00BA46CD" w:rsidRPr="000B2B87">
        <w:rPr>
          <w:rFonts w:ascii="Arial" w:hAnsi="Arial" w:cs="Arial"/>
          <w:i/>
          <w:iCs/>
          <w:sz w:val="20"/>
          <w:szCs w:val="20"/>
        </w:rPr>
        <w:t xml:space="preserve"> of</w:t>
      </w:r>
      <w:r w:rsidR="00EC59DD" w:rsidRPr="000B2B87">
        <w:rPr>
          <w:rFonts w:ascii="Arial" w:hAnsi="Arial" w:cs="Arial"/>
          <w:i/>
          <w:iCs/>
          <w:sz w:val="20"/>
          <w:szCs w:val="20"/>
        </w:rPr>
        <w:t xml:space="preserve"> the </w:t>
      </w:r>
      <w:r w:rsidR="00BA46CD" w:rsidRPr="000B2B87">
        <w:rPr>
          <w:rFonts w:ascii="Arial" w:hAnsi="Arial" w:cs="Arial"/>
          <w:i/>
          <w:iCs/>
          <w:sz w:val="20"/>
          <w:szCs w:val="20"/>
        </w:rPr>
        <w:t>Prairie Creek</w:t>
      </w:r>
      <w:r w:rsidR="00EC59DD" w:rsidRPr="000B2B87">
        <w:rPr>
          <w:rFonts w:ascii="Arial" w:hAnsi="Arial" w:cs="Arial"/>
          <w:i/>
          <w:iCs/>
          <w:sz w:val="20"/>
          <w:szCs w:val="20"/>
        </w:rPr>
        <w:t xml:space="preserve"> Project as</w:t>
      </w:r>
      <w:r w:rsidR="00063B6D" w:rsidRPr="000B2B87">
        <w:rPr>
          <w:rFonts w:ascii="Arial" w:hAnsi="Arial" w:cs="Arial"/>
          <w:i/>
          <w:iCs/>
          <w:sz w:val="20"/>
          <w:szCs w:val="20"/>
        </w:rPr>
        <w:t xml:space="preserve"> it </w:t>
      </w:r>
      <w:r w:rsidR="00EC59DD" w:rsidRPr="000B2B87">
        <w:rPr>
          <w:rFonts w:ascii="Arial" w:hAnsi="Arial" w:cs="Arial"/>
          <w:i/>
          <w:iCs/>
          <w:sz w:val="20"/>
          <w:szCs w:val="20"/>
        </w:rPr>
        <w:t>enable</w:t>
      </w:r>
      <w:r w:rsidR="003712BE">
        <w:rPr>
          <w:rFonts w:ascii="Arial" w:hAnsi="Arial" w:cs="Arial"/>
          <w:i/>
          <w:iCs/>
          <w:sz w:val="20"/>
          <w:szCs w:val="20"/>
        </w:rPr>
        <w:t>s</w:t>
      </w:r>
      <w:r w:rsidR="00EC59DD" w:rsidRPr="000B2B87">
        <w:rPr>
          <w:rFonts w:ascii="Arial" w:hAnsi="Arial" w:cs="Arial"/>
          <w:i/>
          <w:iCs/>
          <w:sz w:val="20"/>
          <w:szCs w:val="20"/>
        </w:rPr>
        <w:t xml:space="preserve"> </w:t>
      </w:r>
      <w:r w:rsidR="00E8224F" w:rsidRPr="000B2B87">
        <w:rPr>
          <w:rFonts w:ascii="Arial" w:hAnsi="Arial" w:cs="Arial"/>
          <w:i/>
          <w:iCs/>
          <w:sz w:val="20"/>
          <w:szCs w:val="20"/>
        </w:rPr>
        <w:t>the commencement of</w:t>
      </w:r>
      <w:r w:rsidR="00EC59DD" w:rsidRPr="000B2B87">
        <w:rPr>
          <w:rFonts w:ascii="Arial" w:hAnsi="Arial" w:cs="Arial"/>
          <w:i/>
          <w:iCs/>
          <w:sz w:val="20"/>
          <w:szCs w:val="20"/>
        </w:rPr>
        <w:t xml:space="preserve"> construction of the all-season access road, marking the start of the development phase </w:t>
      </w:r>
      <w:r w:rsidR="00BF78F1">
        <w:rPr>
          <w:rFonts w:ascii="Arial" w:hAnsi="Arial" w:cs="Arial"/>
          <w:i/>
          <w:iCs/>
          <w:sz w:val="20"/>
          <w:szCs w:val="20"/>
        </w:rPr>
        <w:t xml:space="preserve">of </w:t>
      </w:r>
      <w:r w:rsidR="00EC59DD" w:rsidRPr="000B2B87">
        <w:rPr>
          <w:rFonts w:ascii="Arial" w:hAnsi="Arial" w:cs="Arial"/>
          <w:i/>
          <w:iCs/>
          <w:sz w:val="20"/>
          <w:szCs w:val="20"/>
        </w:rPr>
        <w:t>the</w:t>
      </w:r>
      <w:r w:rsidR="00E8224F" w:rsidRPr="000B2B87">
        <w:rPr>
          <w:rFonts w:ascii="Arial" w:hAnsi="Arial" w:cs="Arial"/>
          <w:i/>
          <w:iCs/>
          <w:sz w:val="20"/>
          <w:szCs w:val="20"/>
        </w:rPr>
        <w:t xml:space="preserve"> </w:t>
      </w:r>
      <w:r w:rsidR="008C6EE4" w:rsidRPr="000B2B87">
        <w:rPr>
          <w:rFonts w:ascii="Arial" w:hAnsi="Arial" w:cs="Arial"/>
          <w:i/>
          <w:iCs/>
          <w:sz w:val="20"/>
          <w:szCs w:val="20"/>
        </w:rPr>
        <w:t>Company</w:t>
      </w:r>
      <w:r w:rsidR="00EC59DD" w:rsidRPr="000B2B87">
        <w:rPr>
          <w:rFonts w:ascii="Arial" w:hAnsi="Arial" w:cs="Arial"/>
          <w:i/>
          <w:iCs/>
          <w:sz w:val="20"/>
          <w:szCs w:val="20"/>
        </w:rPr>
        <w:t xml:space="preserve">. </w:t>
      </w:r>
      <w:r w:rsidR="003712BE">
        <w:rPr>
          <w:rFonts w:ascii="Arial" w:hAnsi="Arial" w:cs="Arial"/>
          <w:i/>
          <w:iCs/>
          <w:sz w:val="20"/>
          <w:szCs w:val="20"/>
        </w:rPr>
        <w:t>Ultimately, t</w:t>
      </w:r>
      <w:r w:rsidR="00E8224F" w:rsidRPr="000B2B87">
        <w:rPr>
          <w:rFonts w:ascii="Arial" w:hAnsi="Arial" w:cs="Arial"/>
          <w:i/>
          <w:iCs/>
          <w:sz w:val="20"/>
          <w:szCs w:val="20"/>
        </w:rPr>
        <w:t xml:space="preserve">his will be the first all-season road to Prairie Creek in the project’s </w:t>
      </w:r>
      <w:r w:rsidR="00CF3AA3">
        <w:rPr>
          <w:rFonts w:ascii="Arial" w:hAnsi="Arial" w:cs="Arial"/>
          <w:i/>
          <w:iCs/>
          <w:sz w:val="20"/>
          <w:szCs w:val="20"/>
        </w:rPr>
        <w:t>50</w:t>
      </w:r>
      <w:r w:rsidR="00E8224F" w:rsidRPr="000B2B87">
        <w:rPr>
          <w:rFonts w:ascii="Arial" w:hAnsi="Arial" w:cs="Arial"/>
          <w:i/>
          <w:iCs/>
          <w:sz w:val="20"/>
          <w:szCs w:val="20"/>
        </w:rPr>
        <w:t>-year history. The first phase of construction</w:t>
      </w:r>
      <w:r w:rsidR="003712BE">
        <w:rPr>
          <w:rFonts w:ascii="Arial" w:hAnsi="Arial" w:cs="Arial"/>
          <w:i/>
          <w:iCs/>
          <w:sz w:val="20"/>
          <w:szCs w:val="20"/>
        </w:rPr>
        <w:t>, known as the pioneer winter roa</w:t>
      </w:r>
      <w:r w:rsidR="00D527E6">
        <w:rPr>
          <w:rFonts w:ascii="Arial" w:hAnsi="Arial" w:cs="Arial"/>
          <w:i/>
          <w:iCs/>
          <w:sz w:val="20"/>
          <w:szCs w:val="20"/>
        </w:rPr>
        <w:t>d</w:t>
      </w:r>
      <w:r w:rsidR="003712BE">
        <w:rPr>
          <w:rFonts w:ascii="Arial" w:hAnsi="Arial" w:cs="Arial"/>
          <w:i/>
          <w:iCs/>
          <w:sz w:val="20"/>
          <w:szCs w:val="20"/>
        </w:rPr>
        <w:t>,</w:t>
      </w:r>
      <w:r w:rsidR="00E8224F" w:rsidRPr="000B2B87">
        <w:rPr>
          <w:rFonts w:ascii="Arial" w:hAnsi="Arial" w:cs="Arial"/>
          <w:i/>
          <w:iCs/>
          <w:sz w:val="20"/>
          <w:szCs w:val="20"/>
        </w:rPr>
        <w:t xml:space="preserve"> will </w:t>
      </w:r>
      <w:r w:rsidR="00E8224F" w:rsidRPr="000B2B87">
        <w:rPr>
          <w:rFonts w:ascii="Arial" w:hAnsi="Arial" w:cs="Arial"/>
          <w:i/>
          <w:iCs/>
          <w:color w:val="201F1E"/>
          <w:sz w:val="20"/>
          <w:szCs w:val="20"/>
        </w:rPr>
        <w:t>re-open and cut new trails, where designated, along the access road corridor, allowing for acquisition of critical geotechnical data for subsequent road-building campaigns and to walk in key pieces of heavy equipment required for on-site early construction projects in the following summer season.”</w:t>
      </w:r>
    </w:p>
    <w:p w14:paraId="50537FE0" w14:textId="77777777" w:rsidR="00E8224F" w:rsidRPr="000B2B87" w:rsidRDefault="00E8224F" w:rsidP="00E8224F">
      <w:pPr>
        <w:pStyle w:val="xmsonormal"/>
        <w:shd w:val="clear" w:color="auto" w:fill="FFFFFF"/>
        <w:spacing w:before="0" w:beforeAutospacing="0" w:after="0" w:afterAutospacing="0"/>
        <w:jc w:val="both"/>
        <w:rPr>
          <w:rFonts w:ascii="Arial" w:hAnsi="Arial" w:cs="Arial"/>
          <w:i/>
          <w:iCs/>
          <w:color w:val="201F1E"/>
          <w:sz w:val="20"/>
          <w:szCs w:val="20"/>
        </w:rPr>
      </w:pPr>
    </w:p>
    <w:p w14:paraId="55BB35D3" w14:textId="03CA0435" w:rsidR="000E2CDC" w:rsidRDefault="00E8224F" w:rsidP="005F0849">
      <w:pPr>
        <w:pStyle w:val="xmsonormal"/>
        <w:shd w:val="clear" w:color="auto" w:fill="FFFFFF"/>
        <w:spacing w:before="0" w:beforeAutospacing="0" w:after="0" w:afterAutospacing="0"/>
        <w:jc w:val="both"/>
        <w:rPr>
          <w:rFonts w:ascii="Arial" w:eastAsia="Calibri" w:hAnsi="Arial" w:cs="Arial"/>
          <w:i/>
          <w:iCs/>
          <w:sz w:val="20"/>
          <w:szCs w:val="20"/>
        </w:rPr>
      </w:pPr>
      <w:r w:rsidRPr="000B2B87">
        <w:rPr>
          <w:rFonts w:ascii="Arial" w:hAnsi="Arial" w:cs="Arial"/>
          <w:i/>
          <w:iCs/>
          <w:color w:val="201F1E"/>
          <w:sz w:val="20"/>
          <w:szCs w:val="20"/>
        </w:rPr>
        <w:t>“</w:t>
      </w:r>
      <w:r w:rsidR="00063B6D" w:rsidRPr="000B2B87">
        <w:rPr>
          <w:rFonts w:ascii="Arial" w:hAnsi="Arial" w:cs="Arial"/>
          <w:i/>
          <w:iCs/>
          <w:sz w:val="20"/>
          <w:szCs w:val="20"/>
        </w:rPr>
        <w:t xml:space="preserve">Construction of the road is key to remaining on track </w:t>
      </w:r>
      <w:r w:rsidR="00BF78F1">
        <w:rPr>
          <w:rFonts w:ascii="Arial" w:hAnsi="Arial" w:cs="Arial"/>
          <w:i/>
          <w:iCs/>
          <w:sz w:val="20"/>
          <w:szCs w:val="20"/>
        </w:rPr>
        <w:t>with</w:t>
      </w:r>
      <w:r w:rsidR="00BF78F1" w:rsidRPr="000B2B87">
        <w:rPr>
          <w:rFonts w:ascii="Arial" w:hAnsi="Arial" w:cs="Arial"/>
          <w:i/>
          <w:iCs/>
          <w:sz w:val="20"/>
          <w:szCs w:val="20"/>
        </w:rPr>
        <w:t xml:space="preserve"> </w:t>
      </w:r>
      <w:r w:rsidR="008C6EE4" w:rsidRPr="000B2B87">
        <w:rPr>
          <w:rFonts w:ascii="Arial" w:hAnsi="Arial" w:cs="Arial"/>
          <w:i/>
          <w:iCs/>
          <w:sz w:val="20"/>
          <w:szCs w:val="20"/>
        </w:rPr>
        <w:t xml:space="preserve">our targeted development schedule </w:t>
      </w:r>
      <w:r w:rsidR="00BF78F1">
        <w:rPr>
          <w:rFonts w:ascii="Arial" w:hAnsi="Arial" w:cs="Arial"/>
          <w:i/>
          <w:iCs/>
          <w:sz w:val="20"/>
          <w:szCs w:val="20"/>
        </w:rPr>
        <w:t xml:space="preserve">and </w:t>
      </w:r>
      <w:r w:rsidR="008C6EE4" w:rsidRPr="000B2B87">
        <w:rPr>
          <w:rFonts w:ascii="Arial" w:hAnsi="Arial" w:cs="Arial"/>
          <w:i/>
          <w:iCs/>
          <w:sz w:val="20"/>
          <w:szCs w:val="20"/>
        </w:rPr>
        <w:t xml:space="preserve">production expected in </w:t>
      </w:r>
      <w:r w:rsidR="003712BE">
        <w:rPr>
          <w:rFonts w:ascii="Arial" w:hAnsi="Arial" w:cs="Arial"/>
          <w:i/>
          <w:iCs/>
          <w:sz w:val="20"/>
          <w:szCs w:val="20"/>
        </w:rPr>
        <w:t xml:space="preserve">late </w:t>
      </w:r>
      <w:r w:rsidR="008C6EE4" w:rsidRPr="000B2B87">
        <w:rPr>
          <w:rFonts w:ascii="Arial" w:hAnsi="Arial" w:cs="Arial"/>
          <w:i/>
          <w:iCs/>
          <w:sz w:val="20"/>
          <w:szCs w:val="20"/>
        </w:rPr>
        <w:t>2024</w:t>
      </w:r>
      <w:r w:rsidR="00BF78F1">
        <w:rPr>
          <w:rFonts w:ascii="Arial" w:hAnsi="Arial" w:cs="Arial"/>
          <w:i/>
          <w:iCs/>
          <w:sz w:val="20"/>
          <w:szCs w:val="20"/>
        </w:rPr>
        <w:t>.</w:t>
      </w:r>
      <w:r w:rsidR="00BF78F1" w:rsidRPr="000B2B87">
        <w:rPr>
          <w:rFonts w:ascii="Arial" w:hAnsi="Arial" w:cs="Arial"/>
          <w:i/>
          <w:iCs/>
          <w:sz w:val="20"/>
          <w:szCs w:val="20"/>
        </w:rPr>
        <w:t xml:space="preserve"> </w:t>
      </w:r>
      <w:r w:rsidR="00BF78F1">
        <w:rPr>
          <w:rFonts w:ascii="Arial" w:hAnsi="Arial" w:cs="Arial"/>
          <w:i/>
          <w:iCs/>
          <w:sz w:val="20"/>
          <w:szCs w:val="20"/>
        </w:rPr>
        <w:t>T</w:t>
      </w:r>
      <w:r w:rsidR="000E2CDC">
        <w:rPr>
          <w:rFonts w:ascii="Arial" w:hAnsi="Arial" w:cs="Arial"/>
          <w:i/>
          <w:iCs/>
          <w:sz w:val="20"/>
          <w:szCs w:val="20"/>
        </w:rPr>
        <w:t xml:space="preserve">his </w:t>
      </w:r>
      <w:r w:rsidR="00E858F1">
        <w:rPr>
          <w:rFonts w:ascii="Arial" w:hAnsi="Arial" w:cs="Arial"/>
          <w:i/>
          <w:iCs/>
          <w:sz w:val="20"/>
          <w:szCs w:val="20"/>
        </w:rPr>
        <w:t xml:space="preserve">transaction </w:t>
      </w:r>
      <w:r w:rsidR="00063B6D" w:rsidRPr="000B2B87">
        <w:rPr>
          <w:rFonts w:ascii="Arial" w:hAnsi="Arial" w:cs="Arial"/>
          <w:i/>
          <w:iCs/>
          <w:sz w:val="20"/>
          <w:szCs w:val="20"/>
        </w:rPr>
        <w:t xml:space="preserve">keeps the project progressing </w:t>
      </w:r>
      <w:r w:rsidR="00BA46CD" w:rsidRPr="000B2B87">
        <w:rPr>
          <w:rFonts w:ascii="Arial" w:hAnsi="Arial" w:cs="Arial"/>
          <w:i/>
          <w:iCs/>
          <w:sz w:val="20"/>
          <w:szCs w:val="20"/>
        </w:rPr>
        <w:t xml:space="preserve">while we </w:t>
      </w:r>
      <w:r w:rsidR="00E858F1">
        <w:rPr>
          <w:rFonts w:ascii="Arial" w:hAnsi="Arial" w:cs="Arial"/>
          <w:i/>
          <w:iCs/>
          <w:sz w:val="20"/>
          <w:szCs w:val="20"/>
        </w:rPr>
        <w:t xml:space="preserve">evaluate financing alternatives for </w:t>
      </w:r>
      <w:r w:rsidR="000E2CDC">
        <w:rPr>
          <w:rFonts w:ascii="Arial" w:hAnsi="Arial" w:cs="Arial"/>
          <w:i/>
          <w:iCs/>
          <w:sz w:val="20"/>
          <w:szCs w:val="20"/>
        </w:rPr>
        <w:t>complete scope of this pioneer winter road</w:t>
      </w:r>
      <w:r w:rsidR="00E858F1">
        <w:rPr>
          <w:rFonts w:ascii="Arial" w:hAnsi="Arial" w:cs="Arial"/>
          <w:i/>
          <w:iCs/>
          <w:sz w:val="20"/>
          <w:szCs w:val="20"/>
        </w:rPr>
        <w:t xml:space="preserve"> and the broader project</w:t>
      </w:r>
      <w:r w:rsidR="00693940" w:rsidRPr="000B2B87">
        <w:rPr>
          <w:rFonts w:ascii="Arial" w:hAnsi="Arial" w:cs="Arial"/>
          <w:i/>
          <w:iCs/>
          <w:sz w:val="20"/>
          <w:szCs w:val="20"/>
        </w:rPr>
        <w:t>.</w:t>
      </w:r>
      <w:r w:rsidRPr="000B2B87">
        <w:rPr>
          <w:rFonts w:ascii="Arial" w:eastAsia="Calibri" w:hAnsi="Arial" w:cs="Arial"/>
          <w:i/>
          <w:iCs/>
          <w:sz w:val="20"/>
          <w:szCs w:val="20"/>
        </w:rPr>
        <w:t xml:space="preserve"> </w:t>
      </w:r>
      <w:r w:rsidR="00AE2BC3">
        <w:rPr>
          <w:rFonts w:ascii="Arial" w:eastAsia="Calibri" w:hAnsi="Arial" w:cs="Arial"/>
          <w:i/>
          <w:iCs/>
          <w:sz w:val="20"/>
          <w:szCs w:val="20"/>
        </w:rPr>
        <w:t>We are very pleased to receive continued financial, as well as technical, support from our major shareholder RCF allowing us to remain on schedule</w:t>
      </w:r>
      <w:r w:rsidR="0022271C">
        <w:rPr>
          <w:rFonts w:ascii="Arial" w:eastAsia="Calibri" w:hAnsi="Arial" w:cs="Arial"/>
          <w:i/>
          <w:iCs/>
          <w:sz w:val="20"/>
          <w:szCs w:val="20"/>
        </w:rPr>
        <w:t>.</w:t>
      </w:r>
      <w:r w:rsidR="00D527E6">
        <w:rPr>
          <w:rFonts w:ascii="Arial" w:eastAsia="Calibri" w:hAnsi="Arial" w:cs="Arial"/>
          <w:i/>
          <w:iCs/>
          <w:sz w:val="20"/>
          <w:szCs w:val="20"/>
        </w:rPr>
        <w:t>”</w:t>
      </w:r>
    </w:p>
    <w:p w14:paraId="5FD8F527" w14:textId="77777777" w:rsidR="000E2CDC" w:rsidRDefault="000E2CDC" w:rsidP="005F0849">
      <w:pPr>
        <w:pStyle w:val="xmsonormal"/>
        <w:shd w:val="clear" w:color="auto" w:fill="FFFFFF"/>
        <w:spacing w:before="0" w:beforeAutospacing="0" w:after="0" w:afterAutospacing="0"/>
        <w:jc w:val="both"/>
        <w:rPr>
          <w:rFonts w:ascii="Arial" w:eastAsia="Calibri" w:hAnsi="Arial" w:cs="Arial"/>
          <w:i/>
          <w:iCs/>
          <w:sz w:val="20"/>
          <w:szCs w:val="20"/>
        </w:rPr>
      </w:pPr>
    </w:p>
    <w:p w14:paraId="52D3F666" w14:textId="2FC62D58" w:rsidR="00E8224F" w:rsidRPr="000B2B87" w:rsidRDefault="00D527E6" w:rsidP="005F0849">
      <w:pPr>
        <w:pStyle w:val="xmsonormal"/>
        <w:shd w:val="clear" w:color="auto" w:fill="FFFFFF"/>
        <w:spacing w:before="0" w:beforeAutospacing="0" w:after="0" w:afterAutospacing="0"/>
        <w:jc w:val="both"/>
        <w:rPr>
          <w:rFonts w:ascii="Arial" w:hAnsi="Arial" w:cs="Arial"/>
          <w:i/>
          <w:iCs/>
          <w:color w:val="201F1E"/>
          <w:sz w:val="20"/>
          <w:szCs w:val="20"/>
        </w:rPr>
      </w:pPr>
      <w:r>
        <w:rPr>
          <w:rFonts w:ascii="Arial" w:eastAsia="Calibri" w:hAnsi="Arial" w:cs="Arial"/>
          <w:i/>
          <w:iCs/>
          <w:sz w:val="20"/>
          <w:szCs w:val="20"/>
        </w:rPr>
        <w:t>“</w:t>
      </w:r>
      <w:r w:rsidR="00693940" w:rsidRPr="000B2B87">
        <w:rPr>
          <w:rFonts w:ascii="Arial" w:eastAsia="Calibri" w:hAnsi="Arial" w:cs="Arial"/>
          <w:i/>
          <w:iCs/>
          <w:sz w:val="20"/>
          <w:szCs w:val="20"/>
        </w:rPr>
        <w:t xml:space="preserve">The Company continues to </w:t>
      </w:r>
      <w:r w:rsidR="00303588" w:rsidRPr="000B2B87">
        <w:rPr>
          <w:rFonts w:ascii="Arial" w:eastAsia="Calibri" w:hAnsi="Arial" w:cs="Arial"/>
          <w:i/>
          <w:iCs/>
          <w:sz w:val="20"/>
          <w:szCs w:val="20"/>
        </w:rPr>
        <w:t xml:space="preserve">consider multiple development financing activities for the activities in the coming year </w:t>
      </w:r>
      <w:r w:rsidR="00303588" w:rsidRPr="000B2B87">
        <w:rPr>
          <w:rFonts w:ascii="Arial" w:hAnsi="Arial" w:cs="Arial"/>
          <w:i/>
          <w:iCs/>
          <w:color w:val="201F1E"/>
          <w:sz w:val="20"/>
          <w:szCs w:val="20"/>
        </w:rPr>
        <w:t>pending availability of suitable financing along with permit readiness activities</w:t>
      </w:r>
      <w:r w:rsidR="00063B6D" w:rsidRPr="000B2B87">
        <w:rPr>
          <w:rFonts w:ascii="Arial" w:hAnsi="Arial" w:cs="Arial"/>
          <w:i/>
          <w:iCs/>
          <w:color w:val="201F1E"/>
          <w:sz w:val="20"/>
          <w:szCs w:val="20"/>
        </w:rPr>
        <w:t>.</w:t>
      </w:r>
      <w:r w:rsidR="00E8224F" w:rsidRPr="000B2B87">
        <w:rPr>
          <w:rFonts w:ascii="Arial" w:hAnsi="Arial" w:cs="Arial"/>
          <w:i/>
          <w:iCs/>
          <w:color w:val="201F1E"/>
          <w:sz w:val="20"/>
          <w:szCs w:val="20"/>
        </w:rPr>
        <w:t>”</w:t>
      </w:r>
    </w:p>
    <w:p w14:paraId="3066A3E6" w14:textId="77777777" w:rsidR="00E8224F" w:rsidRPr="000B2B87" w:rsidRDefault="00E8224F" w:rsidP="005F0849">
      <w:pPr>
        <w:pStyle w:val="xmsonormal"/>
        <w:shd w:val="clear" w:color="auto" w:fill="FFFFFF"/>
        <w:spacing w:before="0" w:beforeAutospacing="0" w:after="0" w:afterAutospacing="0"/>
        <w:jc w:val="both"/>
        <w:rPr>
          <w:rFonts w:ascii="Arial" w:hAnsi="Arial" w:cs="Arial"/>
          <w:i/>
          <w:iCs/>
          <w:color w:val="201F1E"/>
          <w:sz w:val="20"/>
          <w:szCs w:val="20"/>
        </w:rPr>
      </w:pPr>
    </w:p>
    <w:p w14:paraId="169BA066" w14:textId="1CEE5323" w:rsidR="00693940" w:rsidRDefault="00E8224F" w:rsidP="005F0849">
      <w:pPr>
        <w:pStyle w:val="xmsonormal"/>
        <w:shd w:val="clear" w:color="auto" w:fill="FFFFFF"/>
        <w:spacing w:before="0" w:beforeAutospacing="0" w:after="0" w:afterAutospacing="0"/>
        <w:jc w:val="both"/>
        <w:rPr>
          <w:rFonts w:ascii="Arial" w:hAnsi="Arial" w:cs="Arial"/>
          <w:color w:val="201F1E"/>
          <w:sz w:val="20"/>
          <w:szCs w:val="20"/>
        </w:rPr>
      </w:pPr>
      <w:r w:rsidRPr="000B2B87">
        <w:rPr>
          <w:rFonts w:ascii="Arial" w:hAnsi="Arial" w:cs="Arial"/>
          <w:i/>
          <w:iCs/>
          <w:color w:val="201F1E"/>
          <w:sz w:val="20"/>
          <w:szCs w:val="20"/>
        </w:rPr>
        <w:t>“The Company also plans to</w:t>
      </w:r>
      <w:r w:rsidR="008D7E6A">
        <w:rPr>
          <w:rFonts w:ascii="Arial" w:hAnsi="Arial" w:cs="Arial"/>
          <w:i/>
          <w:iCs/>
          <w:color w:val="201F1E"/>
          <w:sz w:val="20"/>
          <w:szCs w:val="20"/>
        </w:rPr>
        <w:t xml:space="preserve"> formally</w:t>
      </w:r>
      <w:r w:rsidRPr="000B2B87">
        <w:rPr>
          <w:rFonts w:ascii="Arial" w:hAnsi="Arial" w:cs="Arial"/>
          <w:i/>
          <w:iCs/>
          <w:color w:val="201F1E"/>
          <w:sz w:val="20"/>
          <w:szCs w:val="20"/>
        </w:rPr>
        <w:t xml:space="preserve"> </w:t>
      </w:r>
      <w:r w:rsidR="000B2B87" w:rsidRPr="000B2B87">
        <w:rPr>
          <w:rFonts w:ascii="Arial" w:hAnsi="Arial" w:cs="Arial"/>
          <w:i/>
          <w:iCs/>
          <w:color w:val="201F1E"/>
          <w:sz w:val="20"/>
          <w:szCs w:val="20"/>
        </w:rPr>
        <w:t>initiate</w:t>
      </w:r>
      <w:r w:rsidRPr="000B2B87">
        <w:rPr>
          <w:rFonts w:ascii="Arial" w:hAnsi="Arial" w:cs="Arial"/>
          <w:i/>
          <w:iCs/>
          <w:color w:val="201F1E"/>
          <w:sz w:val="20"/>
          <w:szCs w:val="20"/>
        </w:rPr>
        <w:t xml:space="preserve"> an updated Feasibility Study</w:t>
      </w:r>
      <w:r w:rsidR="000B2B87" w:rsidRPr="000B2B87">
        <w:rPr>
          <w:rFonts w:ascii="Arial" w:hAnsi="Arial" w:cs="Arial"/>
          <w:i/>
          <w:iCs/>
          <w:color w:val="201F1E"/>
          <w:sz w:val="20"/>
          <w:szCs w:val="20"/>
        </w:rPr>
        <w:t xml:space="preserve"> </w:t>
      </w:r>
      <w:r w:rsidR="008D7E6A">
        <w:rPr>
          <w:rFonts w:ascii="Arial" w:hAnsi="Arial" w:cs="Arial"/>
          <w:i/>
          <w:iCs/>
          <w:color w:val="201F1E"/>
          <w:sz w:val="20"/>
          <w:szCs w:val="20"/>
        </w:rPr>
        <w:t xml:space="preserve">in December </w:t>
      </w:r>
      <w:r w:rsidR="000B2B87" w:rsidRPr="000B2B87">
        <w:rPr>
          <w:rFonts w:ascii="Arial" w:hAnsi="Arial" w:cs="Arial"/>
          <w:i/>
          <w:iCs/>
          <w:color w:val="201F1E"/>
          <w:sz w:val="20"/>
          <w:szCs w:val="20"/>
        </w:rPr>
        <w:t>202</w:t>
      </w:r>
      <w:r w:rsidR="008D7E6A">
        <w:rPr>
          <w:rFonts w:ascii="Arial" w:hAnsi="Arial" w:cs="Arial"/>
          <w:i/>
          <w:iCs/>
          <w:color w:val="201F1E"/>
          <w:sz w:val="20"/>
          <w:szCs w:val="20"/>
        </w:rPr>
        <w:t>1 following initial feasibility level work completed over the past month</w:t>
      </w:r>
      <w:r w:rsidR="000B2B87" w:rsidRPr="000B2B87">
        <w:rPr>
          <w:rFonts w:ascii="Arial" w:hAnsi="Arial" w:cs="Arial"/>
          <w:i/>
          <w:iCs/>
          <w:color w:val="201F1E"/>
          <w:sz w:val="20"/>
          <w:szCs w:val="20"/>
        </w:rPr>
        <w:t xml:space="preserve">. The study will seek to build on the robust results of the October 2021 Preliminary Economic Assessment, and provide a </w:t>
      </w:r>
      <w:r w:rsidR="00303588" w:rsidRPr="000B2B87">
        <w:rPr>
          <w:rFonts w:ascii="Arial" w:hAnsi="Arial" w:cs="Arial"/>
          <w:i/>
          <w:iCs/>
          <w:color w:val="201F1E"/>
          <w:sz w:val="20"/>
          <w:szCs w:val="20"/>
        </w:rPr>
        <w:t>higher level of detail</w:t>
      </w:r>
      <w:r w:rsidR="008C6EE4" w:rsidRPr="000B2B87">
        <w:rPr>
          <w:rFonts w:ascii="Arial" w:hAnsi="Arial" w:cs="Arial"/>
          <w:i/>
          <w:iCs/>
          <w:color w:val="201F1E"/>
          <w:sz w:val="20"/>
          <w:szCs w:val="20"/>
        </w:rPr>
        <w:t xml:space="preserve"> </w:t>
      </w:r>
      <w:r w:rsidR="00303588" w:rsidRPr="000B2B87">
        <w:rPr>
          <w:rFonts w:ascii="Arial" w:hAnsi="Arial" w:cs="Arial"/>
          <w:i/>
          <w:iCs/>
          <w:color w:val="201F1E"/>
          <w:sz w:val="20"/>
          <w:szCs w:val="20"/>
        </w:rPr>
        <w:t>and confidence, while exploring the</w:t>
      </w:r>
      <w:r w:rsidR="000B2B87" w:rsidRPr="000B2B87">
        <w:rPr>
          <w:rFonts w:ascii="Arial" w:hAnsi="Arial" w:cs="Arial"/>
          <w:i/>
          <w:iCs/>
          <w:color w:val="201F1E"/>
          <w:sz w:val="20"/>
          <w:szCs w:val="20"/>
        </w:rPr>
        <w:t xml:space="preserve"> multiple</w:t>
      </w:r>
      <w:r w:rsidR="00303588" w:rsidRPr="000B2B87">
        <w:rPr>
          <w:rFonts w:ascii="Arial" w:hAnsi="Arial" w:cs="Arial"/>
          <w:i/>
          <w:iCs/>
          <w:color w:val="201F1E"/>
          <w:sz w:val="20"/>
          <w:szCs w:val="20"/>
        </w:rPr>
        <w:t xml:space="preserve"> opportunities</w:t>
      </w:r>
      <w:r w:rsidR="000B2B87" w:rsidRPr="000B2B87">
        <w:rPr>
          <w:rFonts w:ascii="Arial" w:hAnsi="Arial" w:cs="Arial"/>
          <w:i/>
          <w:iCs/>
          <w:color w:val="201F1E"/>
          <w:sz w:val="20"/>
          <w:szCs w:val="20"/>
        </w:rPr>
        <w:t xml:space="preserve"> for optimization and</w:t>
      </w:r>
      <w:r w:rsidR="000B2B87">
        <w:rPr>
          <w:rFonts w:ascii="Arial" w:hAnsi="Arial" w:cs="Arial"/>
          <w:color w:val="201F1E"/>
          <w:sz w:val="20"/>
          <w:szCs w:val="20"/>
        </w:rPr>
        <w:t xml:space="preserve"> </w:t>
      </w:r>
      <w:r w:rsidR="000B2B87" w:rsidRPr="000B2B87">
        <w:rPr>
          <w:rFonts w:ascii="Arial" w:hAnsi="Arial" w:cs="Arial"/>
          <w:i/>
          <w:iCs/>
          <w:color w:val="201F1E"/>
          <w:sz w:val="20"/>
          <w:szCs w:val="20"/>
        </w:rPr>
        <w:t>expansion</w:t>
      </w:r>
      <w:r w:rsidR="00303588" w:rsidRPr="008C6EE4">
        <w:rPr>
          <w:rFonts w:ascii="Arial" w:hAnsi="Arial" w:cs="Arial"/>
          <w:color w:val="201F1E"/>
          <w:sz w:val="20"/>
          <w:szCs w:val="20"/>
        </w:rPr>
        <w:t xml:space="preserve"> </w:t>
      </w:r>
      <w:r w:rsidR="004B5967" w:rsidRPr="001C20F0">
        <w:rPr>
          <w:rFonts w:ascii="Arial" w:hAnsi="Arial" w:cs="Arial"/>
          <w:i/>
          <w:iCs/>
          <w:color w:val="201F1E"/>
          <w:sz w:val="20"/>
          <w:szCs w:val="20"/>
        </w:rPr>
        <w:t>previously</w:t>
      </w:r>
      <w:r w:rsidR="004B5967">
        <w:rPr>
          <w:rFonts w:ascii="Arial" w:hAnsi="Arial" w:cs="Arial"/>
          <w:color w:val="201F1E"/>
          <w:sz w:val="20"/>
          <w:szCs w:val="20"/>
        </w:rPr>
        <w:t xml:space="preserve"> </w:t>
      </w:r>
      <w:r w:rsidR="00303588" w:rsidRPr="00D527E6">
        <w:rPr>
          <w:rFonts w:ascii="Arial" w:hAnsi="Arial" w:cs="Arial"/>
          <w:i/>
          <w:iCs/>
          <w:color w:val="201F1E"/>
          <w:sz w:val="20"/>
          <w:szCs w:val="20"/>
        </w:rPr>
        <w:t>identified</w:t>
      </w:r>
      <w:r w:rsidR="000B2B87" w:rsidRPr="00D527E6">
        <w:rPr>
          <w:rFonts w:ascii="Arial" w:hAnsi="Arial" w:cs="Arial"/>
          <w:i/>
          <w:iCs/>
          <w:color w:val="201F1E"/>
          <w:sz w:val="20"/>
          <w:szCs w:val="20"/>
        </w:rPr>
        <w:t>.”</w:t>
      </w:r>
    </w:p>
    <w:p w14:paraId="00092707" w14:textId="77777777" w:rsidR="000B2B87" w:rsidRPr="000B2B87" w:rsidRDefault="000B2B87" w:rsidP="000B2B87">
      <w:pPr>
        <w:pStyle w:val="xmsonormal"/>
        <w:shd w:val="clear" w:color="auto" w:fill="FFFFFF"/>
        <w:spacing w:before="0" w:beforeAutospacing="0" w:after="0" w:afterAutospacing="0"/>
        <w:rPr>
          <w:rFonts w:ascii="Arial" w:hAnsi="Arial" w:cs="Arial"/>
          <w:color w:val="201F1E"/>
          <w:sz w:val="20"/>
          <w:szCs w:val="20"/>
        </w:rPr>
      </w:pPr>
    </w:p>
    <w:p w14:paraId="16AA6837" w14:textId="082B8A71" w:rsidR="009B38B8" w:rsidRDefault="009B38B8" w:rsidP="009B38B8">
      <w:pPr>
        <w:jc w:val="both"/>
        <w:rPr>
          <w:rFonts w:ascii="Arial" w:eastAsia="Arial" w:hAnsi="Arial" w:cs="Arial"/>
          <w:bCs/>
          <w:sz w:val="20"/>
          <w:szCs w:val="20"/>
        </w:rPr>
      </w:pPr>
      <w:r>
        <w:rPr>
          <w:rFonts w:ascii="Arial" w:eastAsia="Arial" w:hAnsi="Arial" w:cs="Arial"/>
          <w:bCs/>
          <w:sz w:val="20"/>
          <w:szCs w:val="20"/>
        </w:rPr>
        <w:t>Common Shares issued in the Equity Financing</w:t>
      </w:r>
      <w:r w:rsidRPr="00C73AB8">
        <w:rPr>
          <w:rFonts w:ascii="Arial" w:eastAsia="Arial" w:hAnsi="Arial" w:cs="Arial"/>
          <w:bCs/>
          <w:sz w:val="20"/>
          <w:szCs w:val="20"/>
        </w:rPr>
        <w:t xml:space="preserve"> will be subject to a four-month hold period under applicable Canadian securities laws.</w:t>
      </w:r>
    </w:p>
    <w:p w14:paraId="4362A8DF" w14:textId="3C87DDDE" w:rsidR="009B38B8" w:rsidRDefault="009B38B8" w:rsidP="009B38B8">
      <w:pPr>
        <w:jc w:val="both"/>
        <w:rPr>
          <w:rFonts w:ascii="Arial" w:eastAsia="Arial" w:hAnsi="Arial" w:cs="Arial"/>
          <w:b/>
          <w:bCs/>
          <w:sz w:val="20"/>
          <w:szCs w:val="20"/>
        </w:rPr>
      </w:pPr>
      <w:r>
        <w:rPr>
          <w:rFonts w:ascii="Arial" w:eastAsia="Arial" w:hAnsi="Arial" w:cs="Arial"/>
          <w:b/>
          <w:bCs/>
          <w:sz w:val="20"/>
          <w:szCs w:val="20"/>
        </w:rPr>
        <w:t>Early Warning Disclosure</w:t>
      </w:r>
    </w:p>
    <w:p w14:paraId="723E3A16" w14:textId="6D71A9B1" w:rsidR="009B38B8" w:rsidRPr="008047ED" w:rsidRDefault="009B38B8" w:rsidP="009B38B8">
      <w:pPr>
        <w:jc w:val="both"/>
        <w:rPr>
          <w:rFonts w:ascii="Arial" w:eastAsia="Arial" w:hAnsi="Arial" w:cs="Arial"/>
          <w:bCs/>
          <w:sz w:val="20"/>
          <w:szCs w:val="20"/>
        </w:rPr>
      </w:pPr>
      <w:r w:rsidRPr="008047ED">
        <w:rPr>
          <w:rFonts w:ascii="Arial" w:eastAsia="Arial" w:hAnsi="Arial" w:cs="Arial"/>
          <w:bCs/>
          <w:sz w:val="20"/>
          <w:szCs w:val="20"/>
        </w:rPr>
        <w:t>RCF is providing the following additional information pursuant to the early warning requirements of applicable Canadian securities laws:</w:t>
      </w:r>
    </w:p>
    <w:p w14:paraId="41A29C31" w14:textId="621B844F" w:rsidR="009B38B8" w:rsidRPr="008047ED" w:rsidRDefault="009B38B8" w:rsidP="009B38B8">
      <w:pPr>
        <w:jc w:val="both"/>
        <w:rPr>
          <w:rFonts w:ascii="Arial" w:eastAsia="Arial" w:hAnsi="Arial" w:cs="Arial"/>
          <w:bCs/>
          <w:sz w:val="20"/>
          <w:szCs w:val="20"/>
        </w:rPr>
      </w:pPr>
      <w:r w:rsidRPr="008047ED">
        <w:rPr>
          <w:rFonts w:ascii="Arial" w:eastAsia="Arial" w:hAnsi="Arial" w:cs="Arial"/>
          <w:bCs/>
          <w:sz w:val="20"/>
          <w:szCs w:val="20"/>
        </w:rPr>
        <w:lastRenderedPageBreak/>
        <w:t>RCF acquired</w:t>
      </w:r>
      <w:r w:rsidR="00B71FB7">
        <w:rPr>
          <w:rFonts w:ascii="Arial" w:eastAsia="Arial" w:hAnsi="Arial" w:cs="Arial"/>
          <w:bCs/>
          <w:sz w:val="20"/>
          <w:szCs w:val="20"/>
        </w:rPr>
        <w:t xml:space="preserve"> 68,451,708 </w:t>
      </w:r>
      <w:r w:rsidRPr="008047ED">
        <w:rPr>
          <w:rFonts w:ascii="Arial" w:eastAsia="Arial" w:hAnsi="Arial" w:cs="Arial"/>
          <w:bCs/>
          <w:sz w:val="20"/>
          <w:szCs w:val="20"/>
        </w:rPr>
        <w:t xml:space="preserve">Common Shares for an aggregate purchase price of </w:t>
      </w:r>
      <w:r w:rsidR="00B71FB7">
        <w:rPr>
          <w:rFonts w:ascii="Arial" w:eastAsia="Arial" w:hAnsi="Arial" w:cs="Arial"/>
          <w:bCs/>
          <w:sz w:val="20"/>
          <w:szCs w:val="20"/>
        </w:rPr>
        <w:t>$3,310,529.95</w:t>
      </w:r>
      <w:r w:rsidRPr="008047ED">
        <w:rPr>
          <w:rFonts w:ascii="Arial" w:eastAsia="Arial" w:hAnsi="Arial" w:cs="Arial"/>
          <w:bCs/>
          <w:sz w:val="20"/>
          <w:szCs w:val="20"/>
        </w:rPr>
        <w:t>, which increased RCF's aggregate shareholding percentage in the Common Shares (together with its affiliates) by approximately</w:t>
      </w:r>
      <w:r w:rsidR="00B71FB7">
        <w:rPr>
          <w:rFonts w:ascii="Arial" w:eastAsia="Arial" w:hAnsi="Arial" w:cs="Arial"/>
          <w:bCs/>
          <w:sz w:val="20"/>
          <w:szCs w:val="20"/>
        </w:rPr>
        <w:t xml:space="preserve"> 5.14</w:t>
      </w:r>
      <w:r w:rsidR="00B71FB7" w:rsidRPr="008047ED">
        <w:rPr>
          <w:rFonts w:ascii="Arial" w:eastAsia="Arial" w:hAnsi="Arial" w:cs="Arial"/>
          <w:bCs/>
          <w:sz w:val="20"/>
          <w:szCs w:val="20"/>
        </w:rPr>
        <w:t xml:space="preserve"> </w:t>
      </w:r>
      <w:r w:rsidRPr="008047ED">
        <w:rPr>
          <w:rFonts w:ascii="Arial" w:eastAsia="Arial" w:hAnsi="Arial" w:cs="Arial"/>
          <w:bCs/>
          <w:sz w:val="20"/>
          <w:szCs w:val="20"/>
        </w:rPr>
        <w:t>%.</w:t>
      </w:r>
    </w:p>
    <w:p w14:paraId="6A68D072" w14:textId="306BB5F7" w:rsidR="009B38B8" w:rsidRPr="00D56720" w:rsidRDefault="009B38B8" w:rsidP="009B38B8">
      <w:pPr>
        <w:jc w:val="both"/>
        <w:rPr>
          <w:rFonts w:ascii="Arial" w:eastAsia="Arial" w:hAnsi="Arial" w:cs="Arial"/>
          <w:b/>
          <w:sz w:val="20"/>
          <w:szCs w:val="20"/>
        </w:rPr>
      </w:pPr>
      <w:r w:rsidRPr="008047ED">
        <w:rPr>
          <w:rFonts w:ascii="Arial" w:eastAsia="Arial" w:hAnsi="Arial" w:cs="Arial"/>
          <w:bCs/>
          <w:sz w:val="20"/>
          <w:szCs w:val="20"/>
        </w:rPr>
        <w:t xml:space="preserve">Immediately prior to the closing of the Equity Financing, RCF (together with its affiliates) beneficially owned an aggregate of </w:t>
      </w:r>
      <w:r w:rsidR="0069328A" w:rsidRPr="0069328A">
        <w:rPr>
          <w:rFonts w:ascii="Arial" w:eastAsia="Arial" w:hAnsi="Arial" w:cs="Arial"/>
          <w:bCs/>
          <w:sz w:val="20"/>
          <w:szCs w:val="20"/>
        </w:rPr>
        <w:t>297,427,065</w:t>
      </w:r>
      <w:r w:rsidR="0069328A">
        <w:rPr>
          <w:rFonts w:ascii="Arial" w:eastAsia="Arial" w:hAnsi="Arial" w:cs="Arial"/>
          <w:bCs/>
          <w:sz w:val="20"/>
          <w:szCs w:val="20"/>
        </w:rPr>
        <w:t xml:space="preserve"> </w:t>
      </w:r>
      <w:r w:rsidRPr="008047ED">
        <w:rPr>
          <w:rFonts w:ascii="Arial" w:eastAsia="Arial" w:hAnsi="Arial" w:cs="Arial"/>
          <w:bCs/>
          <w:sz w:val="20"/>
          <w:szCs w:val="20"/>
        </w:rPr>
        <w:t>Common Shares</w:t>
      </w:r>
      <w:r w:rsidR="00AC6DA2">
        <w:rPr>
          <w:rFonts w:ascii="Arial" w:eastAsia="Arial" w:hAnsi="Arial" w:cs="Arial"/>
          <w:bCs/>
          <w:sz w:val="20"/>
          <w:szCs w:val="20"/>
        </w:rPr>
        <w:t xml:space="preserve"> and 7,692,307 warrants of the Company (“</w:t>
      </w:r>
      <w:r w:rsidR="00AC6DA2">
        <w:rPr>
          <w:rFonts w:ascii="Arial" w:eastAsia="Arial" w:hAnsi="Arial" w:cs="Arial"/>
          <w:b/>
          <w:sz w:val="20"/>
          <w:szCs w:val="20"/>
        </w:rPr>
        <w:t>Warrants</w:t>
      </w:r>
      <w:r w:rsidR="00AC6DA2">
        <w:rPr>
          <w:rFonts w:ascii="Arial" w:eastAsia="Arial" w:hAnsi="Arial" w:cs="Arial"/>
          <w:bCs/>
          <w:sz w:val="20"/>
          <w:szCs w:val="20"/>
        </w:rPr>
        <w:t>”)</w:t>
      </w:r>
      <w:r w:rsidRPr="008047ED">
        <w:rPr>
          <w:rFonts w:ascii="Arial" w:eastAsia="Arial" w:hAnsi="Arial" w:cs="Arial"/>
          <w:bCs/>
          <w:sz w:val="20"/>
          <w:szCs w:val="20"/>
        </w:rPr>
        <w:t xml:space="preserve">, representing approximately </w:t>
      </w:r>
      <w:r w:rsidR="0069328A" w:rsidRPr="0069328A">
        <w:rPr>
          <w:rFonts w:ascii="Arial" w:eastAsia="Arial" w:hAnsi="Arial" w:cs="Arial"/>
          <w:bCs/>
          <w:sz w:val="20"/>
          <w:szCs w:val="20"/>
        </w:rPr>
        <w:t>43.45</w:t>
      </w:r>
      <w:r w:rsidRPr="008047ED">
        <w:rPr>
          <w:rFonts w:ascii="Arial" w:eastAsia="Arial" w:hAnsi="Arial" w:cs="Arial"/>
          <w:bCs/>
          <w:sz w:val="20"/>
          <w:szCs w:val="20"/>
        </w:rPr>
        <w:t>% of the issued and outstanding Common Shares</w:t>
      </w:r>
      <w:r w:rsidR="00AC6DA2">
        <w:rPr>
          <w:rFonts w:ascii="Arial" w:eastAsia="Arial" w:hAnsi="Arial" w:cs="Arial"/>
          <w:bCs/>
          <w:sz w:val="20"/>
          <w:szCs w:val="20"/>
        </w:rPr>
        <w:t>, or 305,119,372 Common Shares (44.08%) on a partially-diluted basis assuming exercise of the Warrants</w:t>
      </w:r>
      <w:r w:rsidRPr="008047ED">
        <w:rPr>
          <w:rFonts w:ascii="Arial" w:eastAsia="Arial" w:hAnsi="Arial" w:cs="Arial"/>
          <w:bCs/>
          <w:sz w:val="20"/>
          <w:szCs w:val="20"/>
        </w:rPr>
        <w:t>. Immediately following closing of the Equity Financing, RCF (together with its affiliates) beneficially owns an aggregate of</w:t>
      </w:r>
      <w:r w:rsidR="00B71FB7">
        <w:rPr>
          <w:rFonts w:ascii="Arial" w:eastAsia="Arial" w:hAnsi="Arial" w:cs="Arial"/>
          <w:bCs/>
          <w:sz w:val="20"/>
          <w:szCs w:val="20"/>
        </w:rPr>
        <w:t xml:space="preserve"> 365,878,773</w:t>
      </w:r>
      <w:r w:rsidR="0069328A">
        <w:t xml:space="preserve"> </w:t>
      </w:r>
      <w:r w:rsidRPr="008047ED">
        <w:rPr>
          <w:rFonts w:ascii="Arial" w:eastAsia="Arial" w:hAnsi="Arial" w:cs="Arial"/>
          <w:bCs/>
          <w:sz w:val="20"/>
          <w:szCs w:val="20"/>
        </w:rPr>
        <w:t>Common Shares</w:t>
      </w:r>
      <w:r w:rsidR="00AC6DA2">
        <w:rPr>
          <w:rFonts w:ascii="Arial" w:eastAsia="Arial" w:hAnsi="Arial" w:cs="Arial"/>
          <w:bCs/>
          <w:sz w:val="20"/>
          <w:szCs w:val="20"/>
        </w:rPr>
        <w:t xml:space="preserve"> and 7,692,307 Warrants</w:t>
      </w:r>
      <w:r w:rsidRPr="008047ED">
        <w:rPr>
          <w:rFonts w:ascii="Arial" w:eastAsia="Arial" w:hAnsi="Arial" w:cs="Arial"/>
          <w:bCs/>
          <w:sz w:val="20"/>
          <w:szCs w:val="20"/>
        </w:rPr>
        <w:t>, representi</w:t>
      </w:r>
      <w:r>
        <w:rPr>
          <w:rFonts w:ascii="Arial" w:eastAsia="Arial" w:hAnsi="Arial" w:cs="Arial"/>
          <w:bCs/>
          <w:sz w:val="20"/>
          <w:szCs w:val="20"/>
        </w:rPr>
        <w:t>ng approximately</w:t>
      </w:r>
      <w:r w:rsidR="00B71FB7">
        <w:rPr>
          <w:rFonts w:ascii="Arial" w:eastAsia="Arial" w:hAnsi="Arial" w:cs="Arial"/>
          <w:bCs/>
          <w:sz w:val="20"/>
          <w:szCs w:val="20"/>
        </w:rPr>
        <w:t xml:space="preserve"> 48.59</w:t>
      </w:r>
      <w:r>
        <w:rPr>
          <w:rFonts w:ascii="Arial" w:eastAsia="Arial" w:hAnsi="Arial" w:cs="Arial"/>
          <w:bCs/>
          <w:sz w:val="20"/>
          <w:szCs w:val="20"/>
        </w:rPr>
        <w:t>% of the</w:t>
      </w:r>
      <w:r w:rsidR="00B71FB7">
        <w:rPr>
          <w:rFonts w:ascii="Arial" w:eastAsia="Arial" w:hAnsi="Arial" w:cs="Arial"/>
          <w:bCs/>
          <w:sz w:val="20"/>
          <w:szCs w:val="20"/>
        </w:rPr>
        <w:t xml:space="preserve"> 752,968,790 </w:t>
      </w:r>
      <w:r w:rsidRPr="008047ED">
        <w:rPr>
          <w:rFonts w:ascii="Arial" w:eastAsia="Arial" w:hAnsi="Arial" w:cs="Arial"/>
          <w:bCs/>
          <w:sz w:val="20"/>
          <w:szCs w:val="20"/>
        </w:rPr>
        <w:t>Common Shares that are issued and outstanding as of the closing date of the Equity Financing</w:t>
      </w:r>
      <w:r w:rsidR="00AC6DA2">
        <w:rPr>
          <w:rFonts w:ascii="Arial" w:eastAsia="Arial" w:hAnsi="Arial" w:cs="Arial"/>
          <w:bCs/>
          <w:sz w:val="20"/>
          <w:szCs w:val="20"/>
        </w:rPr>
        <w:t>, or</w:t>
      </w:r>
      <w:r w:rsidR="00B71FB7">
        <w:rPr>
          <w:rFonts w:ascii="Arial" w:eastAsia="Arial" w:hAnsi="Arial" w:cs="Arial"/>
          <w:bCs/>
          <w:sz w:val="20"/>
          <w:szCs w:val="20"/>
        </w:rPr>
        <w:t xml:space="preserve"> 373,571,080 </w:t>
      </w:r>
      <w:r w:rsidR="00AC6DA2">
        <w:rPr>
          <w:rFonts w:ascii="Arial" w:eastAsia="Arial" w:hAnsi="Arial" w:cs="Arial"/>
          <w:bCs/>
          <w:sz w:val="20"/>
          <w:szCs w:val="20"/>
        </w:rPr>
        <w:t>Common Shares (</w:t>
      </w:r>
      <w:r w:rsidR="00B71FB7">
        <w:rPr>
          <w:rFonts w:ascii="Arial" w:eastAsia="Arial" w:hAnsi="Arial" w:cs="Arial"/>
          <w:bCs/>
          <w:sz w:val="20"/>
          <w:szCs w:val="20"/>
        </w:rPr>
        <w:t>49.11</w:t>
      </w:r>
      <w:r w:rsidR="00AC6DA2">
        <w:rPr>
          <w:rFonts w:ascii="Arial" w:eastAsia="Arial" w:hAnsi="Arial" w:cs="Arial"/>
          <w:bCs/>
          <w:sz w:val="20"/>
          <w:szCs w:val="20"/>
        </w:rPr>
        <w:t>%) on a partially-diluted basis assuming exercise of the Warrants</w:t>
      </w:r>
      <w:r w:rsidRPr="008047ED">
        <w:rPr>
          <w:rFonts w:ascii="Arial" w:eastAsia="Arial" w:hAnsi="Arial" w:cs="Arial"/>
          <w:bCs/>
          <w:sz w:val="20"/>
          <w:szCs w:val="20"/>
        </w:rPr>
        <w:t>.</w:t>
      </w:r>
    </w:p>
    <w:p w14:paraId="08FA5C5C" w14:textId="72B9ACD4" w:rsidR="009B38B8" w:rsidRDefault="009B38B8" w:rsidP="009B38B8">
      <w:pPr>
        <w:jc w:val="both"/>
        <w:rPr>
          <w:rFonts w:ascii="Arial" w:eastAsia="Arial" w:hAnsi="Arial" w:cs="Arial"/>
          <w:bCs/>
          <w:sz w:val="20"/>
          <w:szCs w:val="20"/>
        </w:rPr>
      </w:pPr>
      <w:r w:rsidRPr="008047ED">
        <w:rPr>
          <w:rFonts w:ascii="Arial" w:eastAsia="Arial" w:hAnsi="Arial" w:cs="Arial"/>
          <w:bCs/>
          <w:sz w:val="20"/>
          <w:szCs w:val="20"/>
        </w:rPr>
        <w:t xml:space="preserve">The Common Shares were acquired for investment purposes. RCF may from time to time acquire additional securities, dispose of some or </w:t>
      </w:r>
      <w:proofErr w:type="gramStart"/>
      <w:r w:rsidRPr="008047ED">
        <w:rPr>
          <w:rFonts w:ascii="Arial" w:eastAsia="Arial" w:hAnsi="Arial" w:cs="Arial"/>
          <w:bCs/>
          <w:sz w:val="20"/>
          <w:szCs w:val="20"/>
        </w:rPr>
        <w:t>all of</w:t>
      </w:r>
      <w:proofErr w:type="gramEnd"/>
      <w:r w:rsidRPr="008047ED">
        <w:rPr>
          <w:rFonts w:ascii="Arial" w:eastAsia="Arial" w:hAnsi="Arial" w:cs="Arial"/>
          <w:bCs/>
          <w:sz w:val="20"/>
          <w:szCs w:val="20"/>
        </w:rPr>
        <w:t xml:space="preserve"> the existing or additional securities, or may continue to hold the securities of the Company. Pursuant to a second amended and restated investor rights agreement dated April 24, </w:t>
      </w:r>
      <w:proofErr w:type="gramStart"/>
      <w:r w:rsidRPr="008047ED">
        <w:rPr>
          <w:rFonts w:ascii="Arial" w:eastAsia="Arial" w:hAnsi="Arial" w:cs="Arial"/>
          <w:bCs/>
          <w:sz w:val="20"/>
          <w:szCs w:val="20"/>
        </w:rPr>
        <w:t>2020</w:t>
      </w:r>
      <w:proofErr w:type="gramEnd"/>
      <w:r w:rsidRPr="008047ED">
        <w:rPr>
          <w:rFonts w:ascii="Arial" w:eastAsia="Arial" w:hAnsi="Arial" w:cs="Arial"/>
          <w:bCs/>
          <w:sz w:val="20"/>
          <w:szCs w:val="20"/>
        </w:rPr>
        <w:t xml:space="preserve"> between RCF and the Company, RCF has the right to participate in future equity financings of the Company to maintain its then current equity ownership in the Company on terms no less favourable than those offered to other investors in such financings (subject to certain exceptions).</w:t>
      </w:r>
    </w:p>
    <w:p w14:paraId="173622E4" w14:textId="54DC5874" w:rsidR="00B71FB7" w:rsidRPr="002212C1" w:rsidRDefault="00B71FB7" w:rsidP="00B71FB7">
      <w:pPr>
        <w:jc w:val="both"/>
        <w:rPr>
          <w:rFonts w:ascii="Arial" w:eastAsia="Arial" w:hAnsi="Arial" w:cs="Arial"/>
          <w:bCs/>
          <w:sz w:val="20"/>
          <w:szCs w:val="20"/>
        </w:rPr>
      </w:pPr>
      <w:r>
        <w:rPr>
          <w:rFonts w:ascii="Arial" w:eastAsia="Arial" w:hAnsi="Arial" w:cs="Arial"/>
          <w:bCs/>
          <w:sz w:val="20"/>
          <w:szCs w:val="20"/>
        </w:rPr>
        <w:t xml:space="preserve">RCF’s head office is located at 1400 </w:t>
      </w:r>
      <w:proofErr w:type="spellStart"/>
      <w:r>
        <w:rPr>
          <w:rFonts w:ascii="Arial" w:eastAsia="Arial" w:hAnsi="Arial" w:cs="Arial"/>
          <w:bCs/>
          <w:sz w:val="20"/>
          <w:szCs w:val="20"/>
        </w:rPr>
        <w:t>Wewatta</w:t>
      </w:r>
      <w:proofErr w:type="spellEnd"/>
      <w:r>
        <w:rPr>
          <w:rFonts w:ascii="Arial" w:eastAsia="Arial" w:hAnsi="Arial" w:cs="Arial"/>
          <w:bCs/>
          <w:sz w:val="20"/>
          <w:szCs w:val="20"/>
        </w:rPr>
        <w:t xml:space="preserve"> Street, Suite 85</w:t>
      </w:r>
      <w:r w:rsidR="00BD6035">
        <w:rPr>
          <w:rFonts w:ascii="Arial" w:eastAsia="Arial" w:hAnsi="Arial" w:cs="Arial"/>
          <w:bCs/>
          <w:sz w:val="20"/>
          <w:szCs w:val="20"/>
        </w:rPr>
        <w:t>0</w:t>
      </w:r>
      <w:r>
        <w:rPr>
          <w:rFonts w:ascii="Arial" w:eastAsia="Arial" w:hAnsi="Arial" w:cs="Arial"/>
          <w:bCs/>
          <w:sz w:val="20"/>
          <w:szCs w:val="20"/>
        </w:rPr>
        <w:t>, Denver, CO, 80202. NorZinc’s address is 701 West Georgia Street, Suite 1875, Vancouver, BC V7Y 1C6. A copy of RCF’s early warning report in respect of the Equity Financing may be obtained by contacting Molly Campbell at +1 720 946 1444.</w:t>
      </w:r>
    </w:p>
    <w:p w14:paraId="69D1246C" w14:textId="49AD59AC" w:rsidR="009B38B8" w:rsidRPr="009B38B8" w:rsidRDefault="009B38B8" w:rsidP="009B38B8">
      <w:pPr>
        <w:jc w:val="both"/>
        <w:rPr>
          <w:rFonts w:ascii="Arial" w:eastAsia="Arial" w:hAnsi="Arial" w:cs="Arial"/>
          <w:b/>
          <w:bCs/>
          <w:sz w:val="20"/>
          <w:szCs w:val="20"/>
        </w:rPr>
      </w:pPr>
      <w:r>
        <w:rPr>
          <w:rFonts w:ascii="Arial" w:eastAsia="Arial" w:hAnsi="Arial" w:cs="Arial"/>
          <w:b/>
          <w:bCs/>
          <w:sz w:val="20"/>
          <w:szCs w:val="20"/>
        </w:rPr>
        <w:t>MI 61-101 Disclosure</w:t>
      </w:r>
    </w:p>
    <w:p w14:paraId="132211DB" w14:textId="3215970B" w:rsidR="009E26DF" w:rsidRPr="00736DE2" w:rsidRDefault="009B38B8" w:rsidP="003F74F4">
      <w:pPr>
        <w:jc w:val="both"/>
        <w:rPr>
          <w:rFonts w:ascii="Arial" w:eastAsia="Arial" w:hAnsi="Arial" w:cs="Arial"/>
          <w:bCs/>
          <w:sz w:val="20"/>
          <w:szCs w:val="20"/>
        </w:rPr>
      </w:pPr>
      <w:r>
        <w:rPr>
          <w:rFonts w:ascii="Arial" w:eastAsia="Arial" w:hAnsi="Arial" w:cs="Arial"/>
          <w:bCs/>
          <w:sz w:val="20"/>
          <w:szCs w:val="20"/>
        </w:rPr>
        <w:t xml:space="preserve">RCF is an insider of the Company. Accordingly, the Equity Financing </w:t>
      </w:r>
      <w:proofErr w:type="gramStart"/>
      <w:r>
        <w:rPr>
          <w:rFonts w:ascii="Arial" w:eastAsia="Arial" w:hAnsi="Arial" w:cs="Arial"/>
          <w:bCs/>
          <w:sz w:val="20"/>
          <w:szCs w:val="20"/>
        </w:rPr>
        <w:t>is considered to be</w:t>
      </w:r>
      <w:proofErr w:type="gramEnd"/>
      <w:r>
        <w:rPr>
          <w:rFonts w:ascii="Arial" w:eastAsia="Arial" w:hAnsi="Arial" w:cs="Arial"/>
          <w:bCs/>
          <w:sz w:val="20"/>
          <w:szCs w:val="20"/>
        </w:rPr>
        <w:t xml:space="preserve"> a </w:t>
      </w:r>
      <w:r w:rsidRPr="00034D02">
        <w:rPr>
          <w:rFonts w:ascii="Arial" w:eastAsia="Arial" w:hAnsi="Arial" w:cs="Arial"/>
          <w:bCs/>
          <w:sz w:val="20"/>
          <w:szCs w:val="20"/>
        </w:rPr>
        <w:t>“related party transaction” for purposes</w:t>
      </w:r>
      <w:r>
        <w:rPr>
          <w:rFonts w:ascii="Arial" w:eastAsia="Arial" w:hAnsi="Arial" w:cs="Arial"/>
          <w:bCs/>
          <w:sz w:val="20"/>
          <w:szCs w:val="20"/>
        </w:rPr>
        <w:t xml:space="preserve"> </w:t>
      </w:r>
      <w:r w:rsidRPr="00034D02">
        <w:rPr>
          <w:rFonts w:ascii="Arial" w:eastAsia="Arial" w:hAnsi="Arial" w:cs="Arial"/>
          <w:bCs/>
          <w:sz w:val="20"/>
          <w:szCs w:val="20"/>
        </w:rPr>
        <w:t xml:space="preserve">of Multilateral Instrument 61-101 – </w:t>
      </w:r>
      <w:r w:rsidRPr="00D7036B">
        <w:rPr>
          <w:rFonts w:ascii="Arial" w:eastAsia="Arial" w:hAnsi="Arial" w:cs="Arial"/>
          <w:bCs/>
          <w:i/>
          <w:sz w:val="20"/>
          <w:szCs w:val="20"/>
        </w:rPr>
        <w:t>Protection of Minority Security Holders in Special Transactions</w:t>
      </w:r>
      <w:r w:rsidRPr="00034D02">
        <w:rPr>
          <w:rFonts w:ascii="Arial" w:eastAsia="Arial" w:hAnsi="Arial" w:cs="Arial"/>
          <w:bCs/>
          <w:sz w:val="20"/>
          <w:szCs w:val="20"/>
        </w:rPr>
        <w:t xml:space="preserve"> (“</w:t>
      </w:r>
      <w:r w:rsidRPr="00D7036B">
        <w:rPr>
          <w:rFonts w:ascii="Arial" w:eastAsia="Arial" w:hAnsi="Arial" w:cs="Arial"/>
          <w:b/>
          <w:bCs/>
          <w:sz w:val="20"/>
          <w:szCs w:val="20"/>
        </w:rPr>
        <w:t>MI 61-101</w:t>
      </w:r>
      <w:r w:rsidRPr="00034D02">
        <w:rPr>
          <w:rFonts w:ascii="Arial" w:eastAsia="Arial" w:hAnsi="Arial" w:cs="Arial"/>
          <w:bCs/>
          <w:sz w:val="20"/>
          <w:szCs w:val="20"/>
        </w:rPr>
        <w:t>”). Pursuant to MI 61-101, the Company will file a material change</w:t>
      </w:r>
      <w:r>
        <w:rPr>
          <w:rFonts w:ascii="Arial" w:eastAsia="Arial" w:hAnsi="Arial" w:cs="Arial"/>
          <w:bCs/>
          <w:sz w:val="20"/>
          <w:szCs w:val="20"/>
        </w:rPr>
        <w:t xml:space="preserve"> </w:t>
      </w:r>
      <w:r w:rsidRPr="00034D02">
        <w:rPr>
          <w:rFonts w:ascii="Arial" w:eastAsia="Arial" w:hAnsi="Arial" w:cs="Arial"/>
          <w:bCs/>
          <w:sz w:val="20"/>
          <w:szCs w:val="20"/>
        </w:rPr>
        <w:t>report providing disclosure in relation to each “related party transaction” on SEDAR under</w:t>
      </w:r>
      <w:r>
        <w:rPr>
          <w:rFonts w:ascii="Arial" w:eastAsia="Arial" w:hAnsi="Arial" w:cs="Arial"/>
          <w:bCs/>
          <w:sz w:val="20"/>
          <w:szCs w:val="20"/>
        </w:rPr>
        <w:t xml:space="preserve"> NorZinc</w:t>
      </w:r>
      <w:r w:rsidRPr="00034D02">
        <w:rPr>
          <w:rFonts w:ascii="Arial" w:eastAsia="Arial" w:hAnsi="Arial" w:cs="Arial"/>
          <w:bCs/>
          <w:sz w:val="20"/>
          <w:szCs w:val="20"/>
        </w:rPr>
        <w:t>’</w:t>
      </w:r>
      <w:r>
        <w:rPr>
          <w:rFonts w:ascii="Arial" w:eastAsia="Arial" w:hAnsi="Arial" w:cs="Arial"/>
          <w:bCs/>
          <w:sz w:val="20"/>
          <w:szCs w:val="20"/>
        </w:rPr>
        <w:t>s</w:t>
      </w:r>
      <w:r w:rsidRPr="00034D02">
        <w:rPr>
          <w:rFonts w:ascii="Arial" w:eastAsia="Arial" w:hAnsi="Arial" w:cs="Arial"/>
          <w:bCs/>
          <w:sz w:val="20"/>
          <w:szCs w:val="20"/>
        </w:rPr>
        <w:t xml:space="preserve"> i</w:t>
      </w:r>
      <w:r>
        <w:rPr>
          <w:rFonts w:ascii="Arial" w:eastAsia="Arial" w:hAnsi="Arial" w:cs="Arial"/>
          <w:bCs/>
          <w:sz w:val="20"/>
          <w:szCs w:val="20"/>
        </w:rPr>
        <w:t xml:space="preserve">ssuer profile at </w:t>
      </w:r>
      <w:r w:rsidRPr="00A02C10">
        <w:rPr>
          <w:rFonts w:ascii="Arial" w:eastAsia="Arial" w:hAnsi="Arial" w:cs="Arial"/>
          <w:bCs/>
          <w:sz w:val="20"/>
          <w:szCs w:val="20"/>
        </w:rPr>
        <w:t>www.sedar.com</w:t>
      </w:r>
      <w:r>
        <w:rPr>
          <w:rFonts w:ascii="Arial" w:eastAsia="Arial" w:hAnsi="Arial" w:cs="Arial"/>
          <w:bCs/>
          <w:sz w:val="20"/>
          <w:szCs w:val="20"/>
        </w:rPr>
        <w:t xml:space="preserve">. </w:t>
      </w:r>
      <w:r w:rsidRPr="00034D02">
        <w:rPr>
          <w:rFonts w:ascii="Arial" w:eastAsia="Arial" w:hAnsi="Arial" w:cs="Arial"/>
          <w:bCs/>
          <w:sz w:val="20"/>
          <w:szCs w:val="20"/>
        </w:rPr>
        <w:t>The Company did not file the material change report</w:t>
      </w:r>
      <w:r>
        <w:rPr>
          <w:rFonts w:ascii="Arial" w:eastAsia="Arial" w:hAnsi="Arial" w:cs="Arial"/>
          <w:bCs/>
          <w:sz w:val="20"/>
          <w:szCs w:val="20"/>
        </w:rPr>
        <w:t xml:space="preserve"> </w:t>
      </w:r>
      <w:r w:rsidRPr="00034D02">
        <w:rPr>
          <w:rFonts w:ascii="Arial" w:eastAsia="Arial" w:hAnsi="Arial" w:cs="Arial"/>
          <w:bCs/>
          <w:sz w:val="20"/>
          <w:szCs w:val="20"/>
        </w:rPr>
        <w:t xml:space="preserve">more than 21 days before the expected closing date of the </w:t>
      </w:r>
      <w:r>
        <w:rPr>
          <w:rFonts w:ascii="Arial" w:eastAsia="Arial" w:hAnsi="Arial" w:cs="Arial"/>
          <w:bCs/>
          <w:sz w:val="20"/>
          <w:szCs w:val="20"/>
        </w:rPr>
        <w:t>Equity Financing</w:t>
      </w:r>
      <w:r w:rsidRPr="00034D02">
        <w:rPr>
          <w:rFonts w:ascii="Arial" w:eastAsia="Arial" w:hAnsi="Arial" w:cs="Arial"/>
          <w:bCs/>
          <w:sz w:val="20"/>
          <w:szCs w:val="20"/>
        </w:rPr>
        <w:t xml:space="preserve"> as the details of</w:t>
      </w:r>
      <w:r>
        <w:rPr>
          <w:rFonts w:ascii="Arial" w:eastAsia="Arial" w:hAnsi="Arial" w:cs="Arial"/>
          <w:bCs/>
          <w:sz w:val="20"/>
          <w:szCs w:val="20"/>
        </w:rPr>
        <w:t xml:space="preserve"> </w:t>
      </w:r>
      <w:r w:rsidRPr="00034D02">
        <w:rPr>
          <w:rFonts w:ascii="Arial" w:eastAsia="Arial" w:hAnsi="Arial" w:cs="Arial"/>
          <w:bCs/>
          <w:sz w:val="20"/>
          <w:szCs w:val="20"/>
        </w:rPr>
        <w:t xml:space="preserve">the </w:t>
      </w:r>
      <w:r>
        <w:rPr>
          <w:rFonts w:ascii="Arial" w:eastAsia="Arial" w:hAnsi="Arial" w:cs="Arial"/>
          <w:bCs/>
          <w:sz w:val="20"/>
          <w:szCs w:val="20"/>
        </w:rPr>
        <w:t>Equity Financing</w:t>
      </w:r>
      <w:r w:rsidRPr="00034D02">
        <w:rPr>
          <w:rFonts w:ascii="Arial" w:eastAsia="Arial" w:hAnsi="Arial" w:cs="Arial"/>
          <w:bCs/>
          <w:sz w:val="20"/>
          <w:szCs w:val="20"/>
        </w:rPr>
        <w:t xml:space="preserve"> and the participation therein by </w:t>
      </w:r>
      <w:r>
        <w:rPr>
          <w:rFonts w:ascii="Arial" w:eastAsia="Arial" w:hAnsi="Arial" w:cs="Arial"/>
          <w:bCs/>
          <w:sz w:val="20"/>
          <w:szCs w:val="20"/>
        </w:rPr>
        <w:t>the</w:t>
      </w:r>
      <w:r w:rsidRPr="00034D02">
        <w:rPr>
          <w:rFonts w:ascii="Arial" w:eastAsia="Arial" w:hAnsi="Arial" w:cs="Arial"/>
          <w:bCs/>
          <w:sz w:val="20"/>
          <w:szCs w:val="20"/>
        </w:rPr>
        <w:t xml:space="preserve"> “related party” of the Company were</w:t>
      </w:r>
      <w:r>
        <w:rPr>
          <w:rFonts w:ascii="Arial" w:eastAsia="Arial" w:hAnsi="Arial" w:cs="Arial"/>
          <w:bCs/>
          <w:sz w:val="20"/>
          <w:szCs w:val="20"/>
        </w:rPr>
        <w:t xml:space="preserve"> </w:t>
      </w:r>
      <w:r w:rsidRPr="00034D02">
        <w:rPr>
          <w:rFonts w:ascii="Arial" w:eastAsia="Arial" w:hAnsi="Arial" w:cs="Arial"/>
          <w:bCs/>
          <w:sz w:val="20"/>
          <w:szCs w:val="20"/>
        </w:rPr>
        <w:t xml:space="preserve">not settled until shortly prior to the closing of the </w:t>
      </w:r>
      <w:r>
        <w:rPr>
          <w:rFonts w:ascii="Arial" w:eastAsia="Arial" w:hAnsi="Arial" w:cs="Arial"/>
          <w:bCs/>
          <w:sz w:val="20"/>
          <w:szCs w:val="20"/>
        </w:rPr>
        <w:t>Equity Financing</w:t>
      </w:r>
      <w:r w:rsidRPr="00034D02">
        <w:rPr>
          <w:rFonts w:ascii="Arial" w:eastAsia="Arial" w:hAnsi="Arial" w:cs="Arial"/>
          <w:bCs/>
          <w:sz w:val="20"/>
          <w:szCs w:val="20"/>
        </w:rPr>
        <w:t>, and the Company wished to</w:t>
      </w:r>
      <w:r>
        <w:rPr>
          <w:rFonts w:ascii="Arial" w:eastAsia="Arial" w:hAnsi="Arial" w:cs="Arial"/>
          <w:bCs/>
          <w:sz w:val="20"/>
          <w:szCs w:val="20"/>
        </w:rPr>
        <w:t xml:space="preserve"> </w:t>
      </w:r>
      <w:r w:rsidRPr="00034D02">
        <w:rPr>
          <w:rFonts w:ascii="Arial" w:eastAsia="Arial" w:hAnsi="Arial" w:cs="Arial"/>
          <w:bCs/>
          <w:sz w:val="20"/>
          <w:szCs w:val="20"/>
        </w:rPr>
        <w:t xml:space="preserve">close the </w:t>
      </w:r>
      <w:r>
        <w:rPr>
          <w:rFonts w:ascii="Arial" w:eastAsia="Arial" w:hAnsi="Arial" w:cs="Arial"/>
          <w:bCs/>
          <w:sz w:val="20"/>
          <w:szCs w:val="20"/>
        </w:rPr>
        <w:t>Equity Financing</w:t>
      </w:r>
      <w:r w:rsidRPr="00034D02">
        <w:rPr>
          <w:rFonts w:ascii="Arial" w:eastAsia="Arial" w:hAnsi="Arial" w:cs="Arial"/>
          <w:bCs/>
          <w:sz w:val="20"/>
          <w:szCs w:val="20"/>
        </w:rPr>
        <w:t xml:space="preserve"> on an expedited basis for business reasons. The Company</w:t>
      </w:r>
      <w:r>
        <w:rPr>
          <w:rFonts w:ascii="Arial" w:eastAsia="Arial" w:hAnsi="Arial" w:cs="Arial"/>
          <w:bCs/>
          <w:sz w:val="20"/>
          <w:szCs w:val="20"/>
        </w:rPr>
        <w:t xml:space="preserve"> </w:t>
      </w:r>
      <w:r w:rsidRPr="00034D02">
        <w:rPr>
          <w:rFonts w:ascii="Arial" w:eastAsia="Arial" w:hAnsi="Arial" w:cs="Arial"/>
          <w:bCs/>
          <w:sz w:val="20"/>
          <w:szCs w:val="20"/>
        </w:rPr>
        <w:t>is relying on exemptions from the formal valuation and minority shareholder approval</w:t>
      </w:r>
      <w:r>
        <w:rPr>
          <w:rFonts w:ascii="Arial" w:eastAsia="Arial" w:hAnsi="Arial" w:cs="Arial"/>
          <w:bCs/>
          <w:sz w:val="20"/>
          <w:szCs w:val="20"/>
        </w:rPr>
        <w:t xml:space="preserve"> </w:t>
      </w:r>
      <w:r w:rsidRPr="00034D02">
        <w:rPr>
          <w:rFonts w:ascii="Arial" w:eastAsia="Arial" w:hAnsi="Arial" w:cs="Arial"/>
          <w:bCs/>
          <w:sz w:val="20"/>
          <w:szCs w:val="20"/>
        </w:rPr>
        <w:t>requirements available under MI 61-101. The Company is exempt from the formal valuation</w:t>
      </w:r>
      <w:r>
        <w:rPr>
          <w:rFonts w:ascii="Arial" w:eastAsia="Arial" w:hAnsi="Arial" w:cs="Arial"/>
          <w:bCs/>
          <w:sz w:val="20"/>
          <w:szCs w:val="20"/>
        </w:rPr>
        <w:t xml:space="preserve"> </w:t>
      </w:r>
      <w:r w:rsidRPr="00034D02">
        <w:rPr>
          <w:rFonts w:ascii="Arial" w:eastAsia="Arial" w:hAnsi="Arial" w:cs="Arial"/>
          <w:bCs/>
          <w:sz w:val="20"/>
          <w:szCs w:val="20"/>
        </w:rPr>
        <w:t>requirement in section 5.4 of MI 61-101 in reliance on section 5.5(a) of MI 61-101 as the fair</w:t>
      </w:r>
      <w:r>
        <w:rPr>
          <w:rFonts w:ascii="Arial" w:eastAsia="Arial" w:hAnsi="Arial" w:cs="Arial"/>
          <w:bCs/>
          <w:sz w:val="20"/>
          <w:szCs w:val="20"/>
        </w:rPr>
        <w:t xml:space="preserve"> </w:t>
      </w:r>
      <w:r w:rsidRPr="00034D02">
        <w:rPr>
          <w:rFonts w:ascii="Arial" w:eastAsia="Arial" w:hAnsi="Arial" w:cs="Arial"/>
          <w:bCs/>
          <w:sz w:val="20"/>
          <w:szCs w:val="20"/>
        </w:rPr>
        <w:t>market value of the transaction, insofar as it involves interested parties, is not more than the</w:t>
      </w:r>
      <w:r>
        <w:rPr>
          <w:rFonts w:ascii="Arial" w:eastAsia="Arial" w:hAnsi="Arial" w:cs="Arial"/>
          <w:bCs/>
          <w:sz w:val="20"/>
          <w:szCs w:val="20"/>
        </w:rPr>
        <w:t xml:space="preserve"> </w:t>
      </w:r>
      <w:r w:rsidRPr="00034D02">
        <w:rPr>
          <w:rFonts w:ascii="Arial" w:eastAsia="Arial" w:hAnsi="Arial" w:cs="Arial"/>
          <w:bCs/>
          <w:sz w:val="20"/>
          <w:szCs w:val="20"/>
        </w:rPr>
        <w:t>25% of the Company's market capitalization. Additionally, the Company is exempt from minority</w:t>
      </w:r>
      <w:r>
        <w:rPr>
          <w:rFonts w:ascii="Arial" w:eastAsia="Arial" w:hAnsi="Arial" w:cs="Arial"/>
          <w:bCs/>
          <w:sz w:val="20"/>
          <w:szCs w:val="20"/>
        </w:rPr>
        <w:t xml:space="preserve"> </w:t>
      </w:r>
      <w:r w:rsidRPr="00034D02">
        <w:rPr>
          <w:rFonts w:ascii="Arial" w:eastAsia="Arial" w:hAnsi="Arial" w:cs="Arial"/>
          <w:bCs/>
          <w:sz w:val="20"/>
          <w:szCs w:val="20"/>
        </w:rPr>
        <w:t>shareholder approval requirement in section 5.6 of MI 61-101 in reliance on section 5.7</w:t>
      </w:r>
      <w:r>
        <w:rPr>
          <w:rFonts w:ascii="Arial" w:eastAsia="Arial" w:hAnsi="Arial" w:cs="Arial"/>
          <w:bCs/>
          <w:sz w:val="20"/>
          <w:szCs w:val="20"/>
        </w:rPr>
        <w:t>(1)</w:t>
      </w:r>
      <w:r w:rsidRPr="00034D02">
        <w:rPr>
          <w:rFonts w:ascii="Arial" w:eastAsia="Arial" w:hAnsi="Arial" w:cs="Arial"/>
          <w:bCs/>
          <w:sz w:val="20"/>
          <w:szCs w:val="20"/>
        </w:rPr>
        <w:t>(b) as</w:t>
      </w:r>
      <w:r>
        <w:rPr>
          <w:rFonts w:ascii="Arial" w:eastAsia="Arial" w:hAnsi="Arial" w:cs="Arial"/>
          <w:bCs/>
          <w:sz w:val="20"/>
          <w:szCs w:val="20"/>
        </w:rPr>
        <w:t xml:space="preserve"> </w:t>
      </w:r>
      <w:r w:rsidRPr="00034D02">
        <w:rPr>
          <w:rFonts w:ascii="Arial" w:eastAsia="Arial" w:hAnsi="Arial" w:cs="Arial"/>
          <w:bCs/>
          <w:sz w:val="20"/>
          <w:szCs w:val="20"/>
        </w:rPr>
        <w:t>the fair market value of the transaction, insofar as it involves interested parties, is not more than</w:t>
      </w:r>
      <w:r>
        <w:rPr>
          <w:rFonts w:ascii="Arial" w:eastAsia="Arial" w:hAnsi="Arial" w:cs="Arial"/>
          <w:bCs/>
          <w:sz w:val="20"/>
          <w:szCs w:val="20"/>
        </w:rPr>
        <w:t xml:space="preserve"> </w:t>
      </w:r>
      <w:r w:rsidRPr="00034D02">
        <w:rPr>
          <w:rFonts w:ascii="Arial" w:eastAsia="Arial" w:hAnsi="Arial" w:cs="Arial"/>
          <w:bCs/>
          <w:sz w:val="20"/>
          <w:szCs w:val="20"/>
        </w:rPr>
        <w:t>the 25% of the Company's market capitalization.</w:t>
      </w:r>
    </w:p>
    <w:p w14:paraId="6D29B3D7" w14:textId="6EB18A5D" w:rsidR="00554C5E" w:rsidRPr="0059293F" w:rsidRDefault="00554C5E" w:rsidP="003F74F4">
      <w:pPr>
        <w:jc w:val="both"/>
        <w:rPr>
          <w:rFonts w:ascii="Arial" w:hAnsi="Arial" w:cs="Arial"/>
          <w:b/>
          <w:bCs/>
          <w:sz w:val="20"/>
          <w:szCs w:val="20"/>
        </w:rPr>
      </w:pPr>
      <w:r w:rsidRPr="0059293F">
        <w:rPr>
          <w:rFonts w:ascii="Arial" w:hAnsi="Arial" w:cs="Arial"/>
          <w:b/>
          <w:bCs/>
          <w:sz w:val="20"/>
          <w:szCs w:val="20"/>
        </w:rPr>
        <w:t xml:space="preserve">About NorZinc </w:t>
      </w:r>
    </w:p>
    <w:p w14:paraId="05A3D13A" w14:textId="7AC6AD7D" w:rsidR="00554C5E" w:rsidRPr="0059293F" w:rsidRDefault="00554C5E" w:rsidP="003F74F4">
      <w:pPr>
        <w:jc w:val="both"/>
        <w:rPr>
          <w:rFonts w:ascii="Arial" w:hAnsi="Arial" w:cs="Arial"/>
          <w:sz w:val="20"/>
          <w:szCs w:val="20"/>
        </w:rPr>
      </w:pPr>
      <w:r w:rsidRPr="0059293F">
        <w:rPr>
          <w:rFonts w:ascii="Arial" w:hAnsi="Arial" w:cs="Arial"/>
          <w:sz w:val="20"/>
          <w:szCs w:val="20"/>
        </w:rPr>
        <w:t xml:space="preserve">NorZinc is a TSX-listed mine development Company trading under the symbol “NZC” and on the OTCQB under the symbol “NORZF”. NorZinc is </w:t>
      </w:r>
      <w:r w:rsidR="005F0849">
        <w:rPr>
          <w:rFonts w:ascii="Arial" w:hAnsi="Arial" w:cs="Arial"/>
          <w:sz w:val="20"/>
          <w:szCs w:val="20"/>
        </w:rPr>
        <w:t xml:space="preserve">focused on </w:t>
      </w:r>
      <w:r w:rsidRPr="0059293F">
        <w:rPr>
          <w:rFonts w:ascii="Arial" w:hAnsi="Arial" w:cs="Arial"/>
          <w:sz w:val="20"/>
          <w:szCs w:val="20"/>
        </w:rPr>
        <w:t>developing its</w:t>
      </w:r>
      <w:r w:rsidR="005F0849">
        <w:rPr>
          <w:rFonts w:ascii="Arial" w:hAnsi="Arial" w:cs="Arial"/>
          <w:sz w:val="20"/>
          <w:szCs w:val="20"/>
        </w:rPr>
        <w:t xml:space="preserve"> </w:t>
      </w:r>
      <w:r w:rsidRPr="0059293F">
        <w:rPr>
          <w:rFonts w:ascii="Arial" w:hAnsi="Arial" w:cs="Arial"/>
          <w:sz w:val="20"/>
          <w:szCs w:val="20"/>
        </w:rPr>
        <w:t>100%-owned high</w:t>
      </w:r>
      <w:r w:rsidR="005F0849">
        <w:rPr>
          <w:rFonts w:ascii="Arial" w:hAnsi="Arial" w:cs="Arial"/>
          <w:sz w:val="20"/>
          <w:szCs w:val="20"/>
        </w:rPr>
        <w:t>-</w:t>
      </w:r>
      <w:r w:rsidRPr="0059293F">
        <w:rPr>
          <w:rFonts w:ascii="Arial" w:hAnsi="Arial" w:cs="Arial"/>
          <w:sz w:val="20"/>
          <w:szCs w:val="20"/>
        </w:rPr>
        <w:t>grade zinc-</w:t>
      </w:r>
      <w:r w:rsidR="005F0849">
        <w:rPr>
          <w:rFonts w:ascii="Arial" w:hAnsi="Arial" w:cs="Arial"/>
          <w:sz w:val="20"/>
          <w:szCs w:val="20"/>
        </w:rPr>
        <w:t>silver-</w:t>
      </w:r>
      <w:r w:rsidRPr="0059293F">
        <w:rPr>
          <w:rFonts w:ascii="Arial" w:hAnsi="Arial" w:cs="Arial"/>
          <w:sz w:val="20"/>
          <w:szCs w:val="20"/>
        </w:rPr>
        <w:t xml:space="preserve">lead Prairie Creek </w:t>
      </w:r>
      <w:r w:rsidR="006A4FEB" w:rsidRPr="0059293F">
        <w:rPr>
          <w:rFonts w:ascii="Arial" w:hAnsi="Arial" w:cs="Arial"/>
          <w:sz w:val="20"/>
          <w:szCs w:val="20"/>
        </w:rPr>
        <w:t>Project</w:t>
      </w:r>
      <w:r w:rsidRPr="0059293F">
        <w:rPr>
          <w:rFonts w:ascii="Arial" w:hAnsi="Arial" w:cs="Arial"/>
          <w:sz w:val="20"/>
          <w:szCs w:val="20"/>
        </w:rPr>
        <w:t>, located in the Northwest Territories</w:t>
      </w:r>
    </w:p>
    <w:p w14:paraId="4C8CB8DE" w14:textId="77777777" w:rsidR="00554C5E" w:rsidRPr="00666ABC" w:rsidRDefault="00554C5E" w:rsidP="00B71FB7">
      <w:pPr>
        <w:keepNext/>
        <w:jc w:val="both"/>
        <w:rPr>
          <w:rFonts w:ascii="Arial" w:hAnsi="Arial" w:cs="Arial"/>
          <w:b/>
          <w:bCs/>
        </w:rPr>
      </w:pPr>
      <w:r w:rsidRPr="00666ABC">
        <w:rPr>
          <w:rFonts w:ascii="Arial" w:hAnsi="Arial" w:cs="Arial"/>
          <w:b/>
          <w:bCs/>
        </w:rPr>
        <w:t>Contact Information</w:t>
      </w:r>
    </w:p>
    <w:p w14:paraId="68A04153" w14:textId="2E07B92C" w:rsidR="00554C5E" w:rsidRPr="00666ABC" w:rsidRDefault="00B56C07" w:rsidP="003F74F4">
      <w:pPr>
        <w:jc w:val="both"/>
        <w:rPr>
          <w:rFonts w:ascii="Arial" w:hAnsi="Arial" w:cs="Arial"/>
        </w:rPr>
      </w:pPr>
      <w:r>
        <w:rPr>
          <w:rFonts w:ascii="Arial" w:hAnsi="Arial" w:cs="Arial"/>
        </w:rPr>
        <w:t>Rohan Hazelton</w:t>
      </w:r>
      <w:r w:rsidR="003C182E">
        <w:rPr>
          <w:rFonts w:ascii="Arial" w:hAnsi="Arial" w:cs="Arial"/>
        </w:rPr>
        <w:t>, President &amp; CEO</w:t>
      </w:r>
    </w:p>
    <w:p w14:paraId="5C315AC9" w14:textId="3D4E7B8C" w:rsidR="00554C5E" w:rsidRPr="00666ABC" w:rsidRDefault="00554C5E" w:rsidP="003F74F4">
      <w:pPr>
        <w:jc w:val="both"/>
        <w:rPr>
          <w:rFonts w:ascii="Arial" w:hAnsi="Arial" w:cs="Arial"/>
        </w:rPr>
      </w:pPr>
      <w:r w:rsidRPr="00666ABC">
        <w:rPr>
          <w:rFonts w:ascii="Arial" w:hAnsi="Arial" w:cs="Arial"/>
        </w:rPr>
        <w:t>Tel: (604) 688-2001 or Toll-free:1-866-688-2001</w:t>
      </w:r>
    </w:p>
    <w:p w14:paraId="194FCF18" w14:textId="62417250" w:rsidR="00554C5E" w:rsidRDefault="00554C5E" w:rsidP="003F74F4">
      <w:pPr>
        <w:jc w:val="both"/>
        <w:rPr>
          <w:rFonts w:ascii="Arial" w:hAnsi="Arial" w:cs="Arial"/>
        </w:rPr>
      </w:pPr>
      <w:r w:rsidRPr="00666ABC">
        <w:rPr>
          <w:rFonts w:ascii="Arial" w:hAnsi="Arial" w:cs="Arial"/>
        </w:rPr>
        <w:t xml:space="preserve">E-mail: </w:t>
      </w:r>
      <w:r w:rsidR="005F0849">
        <w:rPr>
          <w:rFonts w:ascii="Arial" w:hAnsi="Arial" w:cs="Arial"/>
        </w:rPr>
        <w:t>ir</w:t>
      </w:r>
      <w:r w:rsidRPr="00666ABC">
        <w:rPr>
          <w:rFonts w:ascii="Arial" w:hAnsi="Arial" w:cs="Arial"/>
        </w:rPr>
        <w:t xml:space="preserve">@norzinc.com </w:t>
      </w:r>
    </w:p>
    <w:p w14:paraId="0C02A2D4" w14:textId="029FB695" w:rsidR="00554C5E" w:rsidRPr="00666ABC" w:rsidRDefault="005160A3" w:rsidP="003F74F4">
      <w:pPr>
        <w:jc w:val="both"/>
        <w:rPr>
          <w:rFonts w:ascii="Arial" w:hAnsi="Arial" w:cs="Arial"/>
        </w:rPr>
      </w:pPr>
      <w:hyperlink r:id="rId9" w:history="1">
        <w:r w:rsidR="00553775" w:rsidRPr="00666ABC">
          <w:rPr>
            <w:rStyle w:val="Hyperlink"/>
            <w:rFonts w:ascii="Arial" w:hAnsi="Arial" w:cs="Arial"/>
          </w:rPr>
          <w:t>www.norzinc.com</w:t>
        </w:r>
      </w:hyperlink>
    </w:p>
    <w:p w14:paraId="53ED447C" w14:textId="77777777" w:rsidR="00554C5E" w:rsidRPr="00666ABC" w:rsidRDefault="00554C5E" w:rsidP="003F74F4">
      <w:pPr>
        <w:jc w:val="both"/>
        <w:rPr>
          <w:rFonts w:ascii="Arial" w:hAnsi="Arial" w:cs="Arial"/>
          <w:b/>
          <w:bCs/>
        </w:rPr>
      </w:pPr>
      <w:r w:rsidRPr="00666ABC">
        <w:rPr>
          <w:rFonts w:ascii="Arial" w:hAnsi="Arial" w:cs="Arial"/>
          <w:b/>
          <w:bCs/>
        </w:rPr>
        <w:t xml:space="preserve">Cautionary Statement – Forward-Looking Information </w:t>
      </w:r>
    </w:p>
    <w:p w14:paraId="2369B84F" w14:textId="76546F9F" w:rsidR="00554C5E" w:rsidRPr="00666ABC" w:rsidRDefault="009B38B8" w:rsidP="009B38B8">
      <w:pPr>
        <w:jc w:val="both"/>
        <w:rPr>
          <w:rFonts w:ascii="Arial" w:hAnsi="Arial" w:cs="Arial"/>
        </w:rPr>
      </w:pPr>
      <w:r w:rsidRPr="0050288F">
        <w:rPr>
          <w:rFonts w:ascii="Arial" w:hAnsi="Arial" w:cs="Arial"/>
          <w:iCs/>
          <w:sz w:val="20"/>
          <w:szCs w:val="20"/>
        </w:rPr>
        <w:t>This press release contains forward-looking information, including, among other things, statements regarding the use of proceeds from the Equity Financing</w:t>
      </w:r>
      <w:r w:rsidR="00A75073">
        <w:rPr>
          <w:rFonts w:ascii="Arial" w:hAnsi="Arial" w:cs="Arial"/>
          <w:iCs/>
          <w:sz w:val="20"/>
          <w:szCs w:val="20"/>
        </w:rPr>
        <w:t xml:space="preserve">, the impact of the ASR on the Prairie Creek Project the development of the Prairie Creek Project, the Company’s </w:t>
      </w:r>
      <w:proofErr w:type="gramStart"/>
      <w:r w:rsidR="00A75073">
        <w:rPr>
          <w:rFonts w:ascii="Arial" w:hAnsi="Arial" w:cs="Arial"/>
          <w:iCs/>
          <w:sz w:val="20"/>
          <w:szCs w:val="20"/>
        </w:rPr>
        <w:t>plans</w:t>
      </w:r>
      <w:proofErr w:type="gramEnd"/>
      <w:r w:rsidR="00A75073">
        <w:rPr>
          <w:rFonts w:ascii="Arial" w:hAnsi="Arial" w:cs="Arial"/>
          <w:iCs/>
          <w:sz w:val="20"/>
          <w:szCs w:val="20"/>
        </w:rPr>
        <w:t xml:space="preserve"> and objectives in connection therewith and the initiation of an updated Feasibility Study</w:t>
      </w:r>
      <w:r w:rsidRPr="0050288F">
        <w:rPr>
          <w:rFonts w:ascii="Arial" w:hAnsi="Arial" w:cs="Arial"/>
          <w:iCs/>
          <w:sz w:val="20"/>
          <w:szCs w:val="20"/>
        </w:rPr>
        <w:t xml:space="preserve">. In making the forward-looking statements in this release, the Company has applied certain factors and assumptions that the Company believes are reasonable, including </w:t>
      </w:r>
      <w:r>
        <w:rPr>
          <w:rFonts w:ascii="Arial" w:hAnsi="Arial" w:cs="Arial"/>
          <w:iCs/>
          <w:sz w:val="20"/>
          <w:szCs w:val="20"/>
        </w:rPr>
        <w:t xml:space="preserve">that </w:t>
      </w:r>
      <w:r w:rsidRPr="0050288F">
        <w:rPr>
          <w:rFonts w:ascii="Arial" w:hAnsi="Arial" w:cs="Arial"/>
          <w:iCs/>
          <w:sz w:val="20"/>
          <w:szCs w:val="20"/>
        </w:rPr>
        <w:t xml:space="preserve">the Company will be able to use the proceeds of the Equity </w:t>
      </w:r>
      <w:r w:rsidR="00D56720">
        <w:rPr>
          <w:rFonts w:ascii="Arial" w:hAnsi="Arial" w:cs="Arial"/>
          <w:iCs/>
          <w:sz w:val="20"/>
          <w:szCs w:val="20"/>
        </w:rPr>
        <w:t xml:space="preserve">Financing </w:t>
      </w:r>
      <w:r w:rsidRPr="0050288F">
        <w:rPr>
          <w:rFonts w:ascii="Arial" w:hAnsi="Arial" w:cs="Arial"/>
          <w:iCs/>
          <w:sz w:val="20"/>
          <w:szCs w:val="20"/>
        </w:rPr>
        <w:t>as anticipated</w:t>
      </w:r>
      <w:r w:rsidR="00A75073">
        <w:rPr>
          <w:rFonts w:ascii="Arial" w:hAnsi="Arial" w:cs="Arial"/>
          <w:iCs/>
          <w:sz w:val="20"/>
          <w:szCs w:val="20"/>
        </w:rPr>
        <w:t>, that the impacts of the ASR on the Prairie Creek Project will be as expected and that the Company will be able to carry out its plans as anticipated</w:t>
      </w:r>
      <w:r w:rsidRPr="0050288F">
        <w:rPr>
          <w:rFonts w:ascii="Arial" w:hAnsi="Arial" w:cs="Arial"/>
          <w:iCs/>
          <w:sz w:val="20"/>
          <w:szCs w:val="20"/>
        </w:rPr>
        <w:t xml:space="preserve">. However, the forward-looking statements in this release are subject to numerous risks, uncertainties and other factors that may cause future results to differ materially from those expressed or implied in such forward-looking statements. Such uncertainties and risks include, among others, </w:t>
      </w:r>
      <w:r>
        <w:rPr>
          <w:rFonts w:ascii="Arial" w:hAnsi="Arial" w:cs="Arial"/>
          <w:iCs/>
          <w:sz w:val="20"/>
          <w:szCs w:val="20"/>
        </w:rPr>
        <w:t xml:space="preserve">risks related to the COVID-19 global health crisis, </w:t>
      </w:r>
      <w:r w:rsidRPr="0050288F">
        <w:rPr>
          <w:rFonts w:ascii="Arial" w:hAnsi="Arial" w:cs="Arial"/>
          <w:iCs/>
          <w:sz w:val="20"/>
          <w:szCs w:val="20"/>
        </w:rPr>
        <w:t>financing risks, delays in obtaining or inability to obtain required regulatory approvals, inability to use the proceeds from the Equity Financing</w:t>
      </w:r>
      <w:r w:rsidR="00A75073">
        <w:rPr>
          <w:rFonts w:ascii="Arial" w:hAnsi="Arial" w:cs="Arial"/>
          <w:iCs/>
          <w:sz w:val="20"/>
          <w:szCs w:val="20"/>
        </w:rPr>
        <w:t xml:space="preserve"> and inability to complete the ASR or carry out its business plans as anticipated</w:t>
      </w:r>
      <w:r w:rsidRPr="0050288F">
        <w:rPr>
          <w:rFonts w:ascii="Arial" w:hAnsi="Arial" w:cs="Arial"/>
          <w:iCs/>
          <w:sz w:val="20"/>
          <w:szCs w:val="20"/>
        </w:rPr>
        <w:t xml:space="preserve"> as well as all of the risk factors described in the Company's most recent Annual Information Form and Management's Discussion &amp; Analysis available for review on the Company’s profile at www.sedar.com. The Company disclaims any intention or obligation to update or revise any forward-looking information, except as required by applicable law</w:t>
      </w:r>
      <w:r>
        <w:rPr>
          <w:rFonts w:ascii="Arial" w:hAnsi="Arial" w:cs="Arial"/>
          <w:iCs/>
          <w:sz w:val="20"/>
          <w:szCs w:val="20"/>
        </w:rPr>
        <w:t>.</w:t>
      </w:r>
    </w:p>
    <w:sectPr w:rsidR="00554C5E" w:rsidRPr="00666ABC" w:rsidSect="00AC6D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2E819" w14:textId="77777777" w:rsidR="005160A3" w:rsidRDefault="005160A3" w:rsidP="007C7638">
      <w:pPr>
        <w:spacing w:after="0" w:line="240" w:lineRule="auto"/>
      </w:pPr>
      <w:r>
        <w:separator/>
      </w:r>
    </w:p>
  </w:endnote>
  <w:endnote w:type="continuationSeparator" w:id="0">
    <w:p w14:paraId="41587983" w14:textId="77777777" w:rsidR="005160A3" w:rsidRDefault="005160A3" w:rsidP="007C7638">
      <w:pPr>
        <w:spacing w:after="0" w:line="240" w:lineRule="auto"/>
      </w:pPr>
      <w:r>
        <w:continuationSeparator/>
      </w:r>
    </w:p>
  </w:endnote>
  <w:endnote w:type="continuationNotice" w:id="1">
    <w:p w14:paraId="2C547C07" w14:textId="77777777" w:rsidR="005160A3" w:rsidRDefault="00516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36C3" w14:textId="77777777" w:rsidR="00BD6035" w:rsidRDefault="00BD6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7B29" w14:textId="77777777" w:rsidR="00E9333A" w:rsidRDefault="00E9333A" w:rsidP="00F0670C">
    <w:pPr>
      <w:pStyle w:val="Footer"/>
    </w:pPr>
    <w:r>
      <w:rPr>
        <w:noProof/>
      </w:rPr>
      <mc:AlternateContent>
        <mc:Choice Requires="wps">
          <w:drawing>
            <wp:anchor distT="0" distB="0" distL="114300" distR="114300" simplePos="0" relativeHeight="251667456" behindDoc="1" locked="0" layoutInCell="1" allowOverlap="1" wp14:anchorId="4B549049" wp14:editId="063029CC">
              <wp:simplePos x="0" y="0"/>
              <wp:positionH relativeFrom="margin">
                <wp:posOffset>0</wp:posOffset>
              </wp:positionH>
              <wp:positionV relativeFrom="paragraph">
                <wp:posOffset>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68B2E45C" w14:textId="77777777" w:rsidR="00E9333A" w:rsidRDefault="00E9333A" w:rsidP="00F0670C">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549049" id="_x0000_t202" coordsize="21600,21600" o:spt="202" path="m,l,21600r21600,l21600,xe">
              <v:stroke joinstyle="miter"/>
              <v:path gradientshapeok="t" o:connecttype="rect"/>
            </v:shapetype>
            <v:shape id="Text Box 2" o:spid="_x0000_s1026" type="#_x0000_t202" style="position:absolute;margin-left:0;margin-top:0;width:201.6pt;height:2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" filled="f" stroked="f">
              <v:textbox inset="0,0,0,0">
                <w:txbxContent>
                  <w:p w14:paraId="68B2E45C" w14:textId="77777777" w:rsidR="00E9333A" w:rsidRDefault="00E9333A" w:rsidP="00F0670C">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6F36" w14:textId="77777777" w:rsidR="00E9333A" w:rsidRDefault="00E9333A" w:rsidP="00351A86">
    <w:pPr>
      <w:pStyle w:val="Footer"/>
    </w:pPr>
    <w:r>
      <w:rPr>
        <w:noProof/>
      </w:rPr>
      <mc:AlternateContent>
        <mc:Choice Requires="wps">
          <w:drawing>
            <wp:anchor distT="0" distB="0" distL="114300" distR="114300" simplePos="0" relativeHeight="251665408" behindDoc="1" locked="0" layoutInCell="1" allowOverlap="1" wp14:anchorId="236B643A" wp14:editId="69F0D76A">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5DA71A24" w14:textId="77777777" w:rsidR="00E9333A" w:rsidRDefault="00E9333A" w:rsidP="00351A86">
                          <w:pPr>
                            <w:pStyle w:val="MacPacTrailer"/>
                          </w:pPr>
                          <w:r>
                            <w:t>LEGAL*52986205.2</w:t>
                          </w:r>
                        </w:p>
                        <w:p w14:paraId="6EA2B69C" w14:textId="77777777" w:rsidR="00E9333A" w:rsidRDefault="00E9333A" w:rsidP="00351A86">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36B643A" id="_x0000_t202" coordsize="21600,21600" o:spt="202" path="m,l,21600r21600,l21600,xe">
              <v:stroke joinstyle="miter"/>
              <v:path gradientshapeok="t" o:connecttype="rect"/>
            </v:shapetype>
            <v:shape id="Text Box 1" o:spid="_x0000_s1027" type="#_x0000_t202" style="position:absolute;margin-left:0;margin-top:0;width:201.6pt;height:20.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" filled="f" stroked="f">
              <v:textbox inset="0,0,0,0">
                <w:txbxContent>
                  <w:p w14:paraId="5DA71A24" w14:textId="77777777" w:rsidR="00E9333A" w:rsidRDefault="00E9333A" w:rsidP="00351A86">
                    <w:pPr>
                      <w:pStyle w:val="MacPacTrailer"/>
                    </w:pPr>
                    <w:r>
                      <w:t>LEGAL*52986205.2</w:t>
                    </w:r>
                  </w:p>
                  <w:p w14:paraId="6EA2B69C" w14:textId="77777777" w:rsidR="00E9333A" w:rsidRDefault="00E9333A" w:rsidP="00351A86">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277D" w14:textId="77777777" w:rsidR="005160A3" w:rsidRDefault="005160A3" w:rsidP="007C7638">
      <w:pPr>
        <w:spacing w:after="0" w:line="240" w:lineRule="auto"/>
      </w:pPr>
      <w:r>
        <w:separator/>
      </w:r>
    </w:p>
  </w:footnote>
  <w:footnote w:type="continuationSeparator" w:id="0">
    <w:p w14:paraId="6D75DD39" w14:textId="77777777" w:rsidR="005160A3" w:rsidRDefault="005160A3" w:rsidP="007C7638">
      <w:pPr>
        <w:spacing w:after="0" w:line="240" w:lineRule="auto"/>
      </w:pPr>
      <w:r>
        <w:continuationSeparator/>
      </w:r>
    </w:p>
  </w:footnote>
  <w:footnote w:type="continuationNotice" w:id="1">
    <w:p w14:paraId="7C5ACD03" w14:textId="77777777" w:rsidR="005160A3" w:rsidRDefault="00516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EFBE" w14:textId="77777777" w:rsidR="00BD6035" w:rsidRDefault="00BD6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91A4" w14:textId="77777777" w:rsidR="00BD6035" w:rsidRDefault="00BD6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97AC" w14:textId="77777777" w:rsidR="00BD6035" w:rsidRDefault="00BD6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26E33"/>
    <w:multiLevelType w:val="hybridMultilevel"/>
    <w:tmpl w:val="1E9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D1643"/>
    <w:multiLevelType w:val="hybridMultilevel"/>
    <w:tmpl w:val="547684F4"/>
    <w:lvl w:ilvl="0" w:tplc="41FCF1F6">
      <w:start w:val="1"/>
      <w:numFmt w:val="bullet"/>
      <w:lvlText w:val=""/>
      <w:lvlJc w:val="left"/>
      <w:pPr>
        <w:ind w:left="720" w:hanging="360"/>
      </w:pPr>
      <w:rPr>
        <w:rFonts w:ascii="Symbol" w:hAnsi="Symbol" w:hint="default"/>
      </w:rPr>
    </w:lvl>
    <w:lvl w:ilvl="1" w:tplc="230CE8CC" w:tentative="1">
      <w:start w:val="1"/>
      <w:numFmt w:val="bullet"/>
      <w:lvlText w:val="o"/>
      <w:lvlJc w:val="left"/>
      <w:pPr>
        <w:ind w:left="1440" w:hanging="360"/>
      </w:pPr>
      <w:rPr>
        <w:rFonts w:ascii="Courier New" w:hAnsi="Courier New" w:cs="Courier New" w:hint="default"/>
      </w:rPr>
    </w:lvl>
    <w:lvl w:ilvl="2" w:tplc="976C7B10" w:tentative="1">
      <w:start w:val="1"/>
      <w:numFmt w:val="bullet"/>
      <w:lvlText w:val=""/>
      <w:lvlJc w:val="left"/>
      <w:pPr>
        <w:ind w:left="2160" w:hanging="360"/>
      </w:pPr>
      <w:rPr>
        <w:rFonts w:ascii="Wingdings" w:hAnsi="Wingdings" w:hint="default"/>
      </w:rPr>
    </w:lvl>
    <w:lvl w:ilvl="3" w:tplc="A08EE126" w:tentative="1">
      <w:start w:val="1"/>
      <w:numFmt w:val="bullet"/>
      <w:lvlText w:val=""/>
      <w:lvlJc w:val="left"/>
      <w:pPr>
        <w:ind w:left="2880" w:hanging="360"/>
      </w:pPr>
      <w:rPr>
        <w:rFonts w:ascii="Symbol" w:hAnsi="Symbol" w:hint="default"/>
      </w:rPr>
    </w:lvl>
    <w:lvl w:ilvl="4" w:tplc="339085E6" w:tentative="1">
      <w:start w:val="1"/>
      <w:numFmt w:val="bullet"/>
      <w:lvlText w:val="o"/>
      <w:lvlJc w:val="left"/>
      <w:pPr>
        <w:ind w:left="3600" w:hanging="360"/>
      </w:pPr>
      <w:rPr>
        <w:rFonts w:ascii="Courier New" w:hAnsi="Courier New" w:cs="Courier New" w:hint="default"/>
      </w:rPr>
    </w:lvl>
    <w:lvl w:ilvl="5" w:tplc="2F32DD14" w:tentative="1">
      <w:start w:val="1"/>
      <w:numFmt w:val="bullet"/>
      <w:lvlText w:val=""/>
      <w:lvlJc w:val="left"/>
      <w:pPr>
        <w:ind w:left="4320" w:hanging="360"/>
      </w:pPr>
      <w:rPr>
        <w:rFonts w:ascii="Wingdings" w:hAnsi="Wingdings" w:hint="default"/>
      </w:rPr>
    </w:lvl>
    <w:lvl w:ilvl="6" w:tplc="D5AE173A" w:tentative="1">
      <w:start w:val="1"/>
      <w:numFmt w:val="bullet"/>
      <w:lvlText w:val=""/>
      <w:lvlJc w:val="left"/>
      <w:pPr>
        <w:ind w:left="5040" w:hanging="360"/>
      </w:pPr>
      <w:rPr>
        <w:rFonts w:ascii="Symbol" w:hAnsi="Symbol" w:hint="default"/>
      </w:rPr>
    </w:lvl>
    <w:lvl w:ilvl="7" w:tplc="80A0DED4" w:tentative="1">
      <w:start w:val="1"/>
      <w:numFmt w:val="bullet"/>
      <w:lvlText w:val="o"/>
      <w:lvlJc w:val="left"/>
      <w:pPr>
        <w:ind w:left="5760" w:hanging="360"/>
      </w:pPr>
      <w:rPr>
        <w:rFonts w:ascii="Courier New" w:hAnsi="Courier New" w:cs="Courier New" w:hint="default"/>
      </w:rPr>
    </w:lvl>
    <w:lvl w:ilvl="8" w:tplc="EA9A9A80" w:tentative="1">
      <w:start w:val="1"/>
      <w:numFmt w:val="bullet"/>
      <w:lvlText w:val=""/>
      <w:lvlJc w:val="left"/>
      <w:pPr>
        <w:ind w:left="6480" w:hanging="360"/>
      </w:pPr>
      <w:rPr>
        <w:rFonts w:ascii="Wingdings" w:hAnsi="Wingdings" w:hint="default"/>
      </w:rPr>
    </w:lvl>
  </w:abstractNum>
  <w:abstractNum w:abstractNumId="2" w15:restartNumberingAfterBreak="0">
    <w:nsid w:val="7A8647CD"/>
    <w:multiLevelType w:val="hybridMultilevel"/>
    <w:tmpl w:val="BAAA906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LL9#&quot;┛┩57=Řm6k5c7l³gÕ⌈pÙť⌏ŧ⌑Ɓ⌕~⌑Ð⌓!&lt;⌕ª⌑0⌓¬⌕3⌑L⌓@″⌕n⌑,⌓N⌡á₯³!‣Ci¥ëD⌍w\‵C⌞®{Ü‣73k7çiZ⌈i⌜⌆üÈOx⌋Fţ¿⌈X®⌉X¬¥«^Yóhuh1w⌎­÷⌈½Þ•ÄˍÆ⌗ïw6'rO⌅ëî⌆pJ⌊⌉\ÿ-{_\;MG5M011"/>
    <w:docVar w:name="zzmp10LastTrailerInserted_1078" w:val="^`~#mp!@LL9#&quot;┛┩57=Řm6k5c7l³gÕ⌈pÙť⌏ŧ⌑Ɓ⌕~⌑Ð⌓!&lt;⌕ª⌑0⌓¬⌕3⌑L⌓@″⌕n⌑,⌓N⌡á₯³!‣Ci¥ëD⌍w\‵C⌞®{Ü‣73k7çiZ⌈i⌜⌆üÈOx⌋Fţ¿⌈X®⌉X¬¥«^Yóhuh1w⌎­÷⌈½Þ•ÄˍÆ⌗ïw6'rO⌅ëî⌆pJ⌊⌉\ÿ-{_\;MG5M011"/>
    <w:docVar w:name="zzmp10mSEGsValidated" w:val="1"/>
    <w:docVar w:name="zzmpLegacyTrailerRemoved" w:val="True"/>
  </w:docVars>
  <w:rsids>
    <w:rsidRoot w:val="00E56F75"/>
    <w:rsid w:val="00005872"/>
    <w:rsid w:val="00006870"/>
    <w:rsid w:val="00012612"/>
    <w:rsid w:val="00022A24"/>
    <w:rsid w:val="000243F7"/>
    <w:rsid w:val="00036283"/>
    <w:rsid w:val="000549E4"/>
    <w:rsid w:val="00063B6D"/>
    <w:rsid w:val="00087D99"/>
    <w:rsid w:val="00091EE9"/>
    <w:rsid w:val="000967B7"/>
    <w:rsid w:val="000B2B87"/>
    <w:rsid w:val="000B2C66"/>
    <w:rsid w:val="000B3619"/>
    <w:rsid w:val="000D0C46"/>
    <w:rsid w:val="000D1CFA"/>
    <w:rsid w:val="000D6944"/>
    <w:rsid w:val="000E1FF6"/>
    <w:rsid w:val="000E2CDC"/>
    <w:rsid w:val="000E44B6"/>
    <w:rsid w:val="000E647D"/>
    <w:rsid w:val="000F1304"/>
    <w:rsid w:val="000F7A27"/>
    <w:rsid w:val="0010354E"/>
    <w:rsid w:val="001159E8"/>
    <w:rsid w:val="00120044"/>
    <w:rsid w:val="00124C07"/>
    <w:rsid w:val="001307B1"/>
    <w:rsid w:val="00141945"/>
    <w:rsid w:val="00145B80"/>
    <w:rsid w:val="00151C59"/>
    <w:rsid w:val="00153A8A"/>
    <w:rsid w:val="001636F9"/>
    <w:rsid w:val="001746F4"/>
    <w:rsid w:val="00182A04"/>
    <w:rsid w:val="00184507"/>
    <w:rsid w:val="00186300"/>
    <w:rsid w:val="001B0890"/>
    <w:rsid w:val="001B0C9D"/>
    <w:rsid w:val="001B2966"/>
    <w:rsid w:val="001B72AC"/>
    <w:rsid w:val="001C20F0"/>
    <w:rsid w:val="001E3A66"/>
    <w:rsid w:val="001E4CDC"/>
    <w:rsid w:val="001E59C3"/>
    <w:rsid w:val="001F141D"/>
    <w:rsid w:val="001F3FBD"/>
    <w:rsid w:val="00213859"/>
    <w:rsid w:val="00214322"/>
    <w:rsid w:val="002221D1"/>
    <w:rsid w:val="0022271C"/>
    <w:rsid w:val="00224195"/>
    <w:rsid w:val="00224BB7"/>
    <w:rsid w:val="00226A60"/>
    <w:rsid w:val="002311FC"/>
    <w:rsid w:val="002433E8"/>
    <w:rsid w:val="0024426C"/>
    <w:rsid w:val="0025020D"/>
    <w:rsid w:val="002528E5"/>
    <w:rsid w:val="002570E6"/>
    <w:rsid w:val="00261F83"/>
    <w:rsid w:val="0028213F"/>
    <w:rsid w:val="00292026"/>
    <w:rsid w:val="002932A5"/>
    <w:rsid w:val="0029372D"/>
    <w:rsid w:val="0029607A"/>
    <w:rsid w:val="0029659B"/>
    <w:rsid w:val="002D0A27"/>
    <w:rsid w:val="002E3A69"/>
    <w:rsid w:val="002F1E93"/>
    <w:rsid w:val="002F5809"/>
    <w:rsid w:val="00300B70"/>
    <w:rsid w:val="00303588"/>
    <w:rsid w:val="00303DC1"/>
    <w:rsid w:val="0030592D"/>
    <w:rsid w:val="00321812"/>
    <w:rsid w:val="00323524"/>
    <w:rsid w:val="003279FA"/>
    <w:rsid w:val="00327A4E"/>
    <w:rsid w:val="003350E0"/>
    <w:rsid w:val="003527A8"/>
    <w:rsid w:val="0036772F"/>
    <w:rsid w:val="003712BE"/>
    <w:rsid w:val="00395B78"/>
    <w:rsid w:val="003A00DF"/>
    <w:rsid w:val="003A21E6"/>
    <w:rsid w:val="003C182E"/>
    <w:rsid w:val="003C28E4"/>
    <w:rsid w:val="003C3BE8"/>
    <w:rsid w:val="003C7469"/>
    <w:rsid w:val="003C773B"/>
    <w:rsid w:val="003E2C77"/>
    <w:rsid w:val="003F5171"/>
    <w:rsid w:val="003F74F4"/>
    <w:rsid w:val="004067E9"/>
    <w:rsid w:val="00416840"/>
    <w:rsid w:val="00423017"/>
    <w:rsid w:val="00425F5B"/>
    <w:rsid w:val="00431FEB"/>
    <w:rsid w:val="00433240"/>
    <w:rsid w:val="00434FEB"/>
    <w:rsid w:val="00460741"/>
    <w:rsid w:val="004876C3"/>
    <w:rsid w:val="004A0BDE"/>
    <w:rsid w:val="004A1125"/>
    <w:rsid w:val="004A3518"/>
    <w:rsid w:val="004A7EE2"/>
    <w:rsid w:val="004B4021"/>
    <w:rsid w:val="004B5967"/>
    <w:rsid w:val="004C6DF0"/>
    <w:rsid w:val="004D34F5"/>
    <w:rsid w:val="004F1145"/>
    <w:rsid w:val="004F7D29"/>
    <w:rsid w:val="005160A3"/>
    <w:rsid w:val="00525C77"/>
    <w:rsid w:val="00527ED1"/>
    <w:rsid w:val="005327D3"/>
    <w:rsid w:val="005373E2"/>
    <w:rsid w:val="00553775"/>
    <w:rsid w:val="00554516"/>
    <w:rsid w:val="00554C5E"/>
    <w:rsid w:val="00561B90"/>
    <w:rsid w:val="00564A9D"/>
    <w:rsid w:val="00586933"/>
    <w:rsid w:val="0059271A"/>
    <w:rsid w:val="0059293F"/>
    <w:rsid w:val="00594980"/>
    <w:rsid w:val="005A2C86"/>
    <w:rsid w:val="005B0004"/>
    <w:rsid w:val="005B54AD"/>
    <w:rsid w:val="005C3F83"/>
    <w:rsid w:val="005D2C76"/>
    <w:rsid w:val="005D3BD9"/>
    <w:rsid w:val="005E11DC"/>
    <w:rsid w:val="005E2C8D"/>
    <w:rsid w:val="005F0849"/>
    <w:rsid w:val="005F123A"/>
    <w:rsid w:val="005F1DBA"/>
    <w:rsid w:val="00616D83"/>
    <w:rsid w:val="0062116C"/>
    <w:rsid w:val="00622CCE"/>
    <w:rsid w:val="0064044D"/>
    <w:rsid w:val="006512C2"/>
    <w:rsid w:val="00662605"/>
    <w:rsid w:val="00662C71"/>
    <w:rsid w:val="00666ABC"/>
    <w:rsid w:val="00674873"/>
    <w:rsid w:val="00674A6F"/>
    <w:rsid w:val="00675B59"/>
    <w:rsid w:val="00680484"/>
    <w:rsid w:val="0069328A"/>
    <w:rsid w:val="00693664"/>
    <w:rsid w:val="00693940"/>
    <w:rsid w:val="00695DBA"/>
    <w:rsid w:val="00697A85"/>
    <w:rsid w:val="006A30E3"/>
    <w:rsid w:val="006A4FEB"/>
    <w:rsid w:val="006A5B13"/>
    <w:rsid w:val="006B4716"/>
    <w:rsid w:val="006B524F"/>
    <w:rsid w:val="006D2597"/>
    <w:rsid w:val="006D40F1"/>
    <w:rsid w:val="006E11BF"/>
    <w:rsid w:val="006E1BED"/>
    <w:rsid w:val="006F4D70"/>
    <w:rsid w:val="00701487"/>
    <w:rsid w:val="00701907"/>
    <w:rsid w:val="00703065"/>
    <w:rsid w:val="00710E4C"/>
    <w:rsid w:val="00720C8F"/>
    <w:rsid w:val="00734EC4"/>
    <w:rsid w:val="00736DE2"/>
    <w:rsid w:val="0074393E"/>
    <w:rsid w:val="00745421"/>
    <w:rsid w:val="00763ACC"/>
    <w:rsid w:val="00765BA4"/>
    <w:rsid w:val="00780F8E"/>
    <w:rsid w:val="00785D2A"/>
    <w:rsid w:val="00786C67"/>
    <w:rsid w:val="007928DF"/>
    <w:rsid w:val="00797502"/>
    <w:rsid w:val="007976A2"/>
    <w:rsid w:val="007C689F"/>
    <w:rsid w:val="007C7638"/>
    <w:rsid w:val="007D5A09"/>
    <w:rsid w:val="007E21A5"/>
    <w:rsid w:val="007F1A9D"/>
    <w:rsid w:val="00800390"/>
    <w:rsid w:val="00803959"/>
    <w:rsid w:val="00810163"/>
    <w:rsid w:val="00812277"/>
    <w:rsid w:val="008160FE"/>
    <w:rsid w:val="008166BC"/>
    <w:rsid w:val="008233F3"/>
    <w:rsid w:val="00827D83"/>
    <w:rsid w:val="00847B5D"/>
    <w:rsid w:val="0085242C"/>
    <w:rsid w:val="0085380F"/>
    <w:rsid w:val="0087111C"/>
    <w:rsid w:val="00871ADB"/>
    <w:rsid w:val="00877154"/>
    <w:rsid w:val="00881B9A"/>
    <w:rsid w:val="008831E8"/>
    <w:rsid w:val="008A21E5"/>
    <w:rsid w:val="008C6EE4"/>
    <w:rsid w:val="008D501F"/>
    <w:rsid w:val="008D7E6A"/>
    <w:rsid w:val="008E52CD"/>
    <w:rsid w:val="008E5759"/>
    <w:rsid w:val="008E6938"/>
    <w:rsid w:val="008F20F6"/>
    <w:rsid w:val="00901B03"/>
    <w:rsid w:val="00906A65"/>
    <w:rsid w:val="00910556"/>
    <w:rsid w:val="00915F9E"/>
    <w:rsid w:val="00920CE4"/>
    <w:rsid w:val="009433D2"/>
    <w:rsid w:val="009648C5"/>
    <w:rsid w:val="00965737"/>
    <w:rsid w:val="00971D12"/>
    <w:rsid w:val="00972783"/>
    <w:rsid w:val="009727BF"/>
    <w:rsid w:val="00973CAB"/>
    <w:rsid w:val="009B0E2E"/>
    <w:rsid w:val="009B2808"/>
    <w:rsid w:val="009B38B8"/>
    <w:rsid w:val="009B7D00"/>
    <w:rsid w:val="009C1C96"/>
    <w:rsid w:val="009C50A3"/>
    <w:rsid w:val="009C6813"/>
    <w:rsid w:val="009D1AE6"/>
    <w:rsid w:val="009D235B"/>
    <w:rsid w:val="009D29A4"/>
    <w:rsid w:val="009D4584"/>
    <w:rsid w:val="009D7CE5"/>
    <w:rsid w:val="009E073A"/>
    <w:rsid w:val="009E26DF"/>
    <w:rsid w:val="009E4909"/>
    <w:rsid w:val="009E5EB6"/>
    <w:rsid w:val="009E6866"/>
    <w:rsid w:val="009E7A94"/>
    <w:rsid w:val="009F42E5"/>
    <w:rsid w:val="009F5687"/>
    <w:rsid w:val="00A065E6"/>
    <w:rsid w:val="00A40D0F"/>
    <w:rsid w:val="00A47C93"/>
    <w:rsid w:val="00A64A60"/>
    <w:rsid w:val="00A70035"/>
    <w:rsid w:val="00A70DE7"/>
    <w:rsid w:val="00A75073"/>
    <w:rsid w:val="00A90518"/>
    <w:rsid w:val="00A924C4"/>
    <w:rsid w:val="00A92E80"/>
    <w:rsid w:val="00AA59E4"/>
    <w:rsid w:val="00AB2F9D"/>
    <w:rsid w:val="00AC68B7"/>
    <w:rsid w:val="00AC6DA2"/>
    <w:rsid w:val="00AD1A70"/>
    <w:rsid w:val="00AD2ABC"/>
    <w:rsid w:val="00AD2BE6"/>
    <w:rsid w:val="00AD2F82"/>
    <w:rsid w:val="00AD4ABA"/>
    <w:rsid w:val="00AD4C47"/>
    <w:rsid w:val="00AE2BC3"/>
    <w:rsid w:val="00AE57BF"/>
    <w:rsid w:val="00AF0F76"/>
    <w:rsid w:val="00AF1E3B"/>
    <w:rsid w:val="00AF371C"/>
    <w:rsid w:val="00B15D86"/>
    <w:rsid w:val="00B307A1"/>
    <w:rsid w:val="00B32A52"/>
    <w:rsid w:val="00B336C0"/>
    <w:rsid w:val="00B35A87"/>
    <w:rsid w:val="00B51500"/>
    <w:rsid w:val="00B56C07"/>
    <w:rsid w:val="00B64A5A"/>
    <w:rsid w:val="00B71FB7"/>
    <w:rsid w:val="00B738A7"/>
    <w:rsid w:val="00B761A0"/>
    <w:rsid w:val="00B91084"/>
    <w:rsid w:val="00B96994"/>
    <w:rsid w:val="00BA3E95"/>
    <w:rsid w:val="00BA46CD"/>
    <w:rsid w:val="00BA4A5B"/>
    <w:rsid w:val="00BB2B55"/>
    <w:rsid w:val="00BB5529"/>
    <w:rsid w:val="00BB6060"/>
    <w:rsid w:val="00BB7083"/>
    <w:rsid w:val="00BC07BE"/>
    <w:rsid w:val="00BC65D7"/>
    <w:rsid w:val="00BD35F4"/>
    <w:rsid w:val="00BD6035"/>
    <w:rsid w:val="00BF78F1"/>
    <w:rsid w:val="00C011E5"/>
    <w:rsid w:val="00C05DBD"/>
    <w:rsid w:val="00C05EA3"/>
    <w:rsid w:val="00C063F2"/>
    <w:rsid w:val="00C07D19"/>
    <w:rsid w:val="00C112ED"/>
    <w:rsid w:val="00C24F69"/>
    <w:rsid w:val="00C31DAE"/>
    <w:rsid w:val="00C66B69"/>
    <w:rsid w:val="00C80A97"/>
    <w:rsid w:val="00C81099"/>
    <w:rsid w:val="00C86A34"/>
    <w:rsid w:val="00C97783"/>
    <w:rsid w:val="00CA3121"/>
    <w:rsid w:val="00CB3CC5"/>
    <w:rsid w:val="00CC065D"/>
    <w:rsid w:val="00CC4DE8"/>
    <w:rsid w:val="00CC50D7"/>
    <w:rsid w:val="00CD75B7"/>
    <w:rsid w:val="00CE26CA"/>
    <w:rsid w:val="00CE53A6"/>
    <w:rsid w:val="00CE65F8"/>
    <w:rsid w:val="00CF334E"/>
    <w:rsid w:val="00CF3AA3"/>
    <w:rsid w:val="00CF5968"/>
    <w:rsid w:val="00D02BA7"/>
    <w:rsid w:val="00D0524C"/>
    <w:rsid w:val="00D11576"/>
    <w:rsid w:val="00D21A98"/>
    <w:rsid w:val="00D328F7"/>
    <w:rsid w:val="00D370AC"/>
    <w:rsid w:val="00D40908"/>
    <w:rsid w:val="00D527E6"/>
    <w:rsid w:val="00D56720"/>
    <w:rsid w:val="00D63B83"/>
    <w:rsid w:val="00D7184C"/>
    <w:rsid w:val="00D72E7D"/>
    <w:rsid w:val="00D75522"/>
    <w:rsid w:val="00D818C5"/>
    <w:rsid w:val="00D81C5F"/>
    <w:rsid w:val="00D94878"/>
    <w:rsid w:val="00DA4195"/>
    <w:rsid w:val="00DA717C"/>
    <w:rsid w:val="00DB160C"/>
    <w:rsid w:val="00DC0362"/>
    <w:rsid w:val="00DC3D7D"/>
    <w:rsid w:val="00DF2209"/>
    <w:rsid w:val="00E049F5"/>
    <w:rsid w:val="00E10B63"/>
    <w:rsid w:val="00E21507"/>
    <w:rsid w:val="00E21D44"/>
    <w:rsid w:val="00E232E8"/>
    <w:rsid w:val="00E23AED"/>
    <w:rsid w:val="00E250EB"/>
    <w:rsid w:val="00E25385"/>
    <w:rsid w:val="00E3364D"/>
    <w:rsid w:val="00E44E36"/>
    <w:rsid w:val="00E45C4B"/>
    <w:rsid w:val="00E46F2C"/>
    <w:rsid w:val="00E47505"/>
    <w:rsid w:val="00E56005"/>
    <w:rsid w:val="00E56F75"/>
    <w:rsid w:val="00E57FC3"/>
    <w:rsid w:val="00E74020"/>
    <w:rsid w:val="00E7767A"/>
    <w:rsid w:val="00E8224F"/>
    <w:rsid w:val="00E858F1"/>
    <w:rsid w:val="00E9333A"/>
    <w:rsid w:val="00EB4CAE"/>
    <w:rsid w:val="00EC2A05"/>
    <w:rsid w:val="00EC5138"/>
    <w:rsid w:val="00EC536F"/>
    <w:rsid w:val="00EC59DD"/>
    <w:rsid w:val="00EF37CC"/>
    <w:rsid w:val="00F026F0"/>
    <w:rsid w:val="00F117F1"/>
    <w:rsid w:val="00F2084E"/>
    <w:rsid w:val="00F33B67"/>
    <w:rsid w:val="00F60B3E"/>
    <w:rsid w:val="00F70080"/>
    <w:rsid w:val="00F70ECB"/>
    <w:rsid w:val="00F715B4"/>
    <w:rsid w:val="00F71985"/>
    <w:rsid w:val="00F82D15"/>
    <w:rsid w:val="00F931ED"/>
    <w:rsid w:val="00F95571"/>
    <w:rsid w:val="00FA2DF6"/>
    <w:rsid w:val="00FB0FE4"/>
    <w:rsid w:val="00FB2BD8"/>
    <w:rsid w:val="00FD717D"/>
    <w:rsid w:val="00FE171B"/>
    <w:rsid w:val="1DA89667"/>
    <w:rsid w:val="6C8D6F0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542F"/>
  <w15:chartTrackingRefBased/>
  <w15:docId w15:val="{0DBB3E0C-6030-49E0-AF07-94B0DEC8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11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C5E"/>
    <w:rPr>
      <w:color w:val="0563C1" w:themeColor="hyperlink"/>
      <w:u w:val="single"/>
    </w:rPr>
  </w:style>
  <w:style w:type="character" w:styleId="UnresolvedMention">
    <w:name w:val="Unresolved Mention"/>
    <w:basedOn w:val="DefaultParagraphFont"/>
    <w:uiPriority w:val="99"/>
    <w:semiHidden/>
    <w:unhideWhenUsed/>
    <w:rsid w:val="00554C5E"/>
    <w:rPr>
      <w:color w:val="605E5C"/>
      <w:shd w:val="clear" w:color="auto" w:fill="E1DFDD"/>
    </w:rPr>
  </w:style>
  <w:style w:type="character" w:styleId="CommentReference">
    <w:name w:val="annotation reference"/>
    <w:basedOn w:val="DefaultParagraphFont"/>
    <w:uiPriority w:val="99"/>
    <w:semiHidden/>
    <w:unhideWhenUsed/>
    <w:rsid w:val="00554C5E"/>
    <w:rPr>
      <w:sz w:val="16"/>
      <w:szCs w:val="16"/>
    </w:rPr>
  </w:style>
  <w:style w:type="paragraph" w:styleId="CommentText">
    <w:name w:val="annotation text"/>
    <w:basedOn w:val="Normal"/>
    <w:link w:val="CommentTextChar"/>
    <w:uiPriority w:val="99"/>
    <w:unhideWhenUsed/>
    <w:rsid w:val="00554C5E"/>
    <w:pPr>
      <w:spacing w:line="240" w:lineRule="auto"/>
    </w:pPr>
    <w:rPr>
      <w:sz w:val="20"/>
      <w:szCs w:val="20"/>
    </w:rPr>
  </w:style>
  <w:style w:type="character" w:customStyle="1" w:styleId="CommentTextChar">
    <w:name w:val="Comment Text Char"/>
    <w:basedOn w:val="DefaultParagraphFont"/>
    <w:link w:val="CommentText"/>
    <w:uiPriority w:val="99"/>
    <w:rsid w:val="00554C5E"/>
    <w:rPr>
      <w:sz w:val="20"/>
      <w:szCs w:val="20"/>
    </w:rPr>
  </w:style>
  <w:style w:type="paragraph" w:styleId="CommentSubject">
    <w:name w:val="annotation subject"/>
    <w:basedOn w:val="CommentText"/>
    <w:next w:val="CommentText"/>
    <w:link w:val="CommentSubjectChar"/>
    <w:uiPriority w:val="99"/>
    <w:semiHidden/>
    <w:unhideWhenUsed/>
    <w:rsid w:val="00554C5E"/>
    <w:rPr>
      <w:b/>
      <w:bCs/>
    </w:rPr>
  </w:style>
  <w:style w:type="character" w:customStyle="1" w:styleId="CommentSubjectChar">
    <w:name w:val="Comment Subject Char"/>
    <w:basedOn w:val="CommentTextChar"/>
    <w:link w:val="CommentSubject"/>
    <w:uiPriority w:val="99"/>
    <w:semiHidden/>
    <w:rsid w:val="00554C5E"/>
    <w:rPr>
      <w:b/>
      <w:bCs/>
      <w:sz w:val="20"/>
      <w:szCs w:val="20"/>
    </w:rPr>
  </w:style>
  <w:style w:type="table" w:styleId="TableGrid">
    <w:name w:val="Table Grid"/>
    <w:basedOn w:val="TableNormal"/>
    <w:uiPriority w:val="39"/>
    <w:rsid w:val="004A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xt1">
    <w:name w:val="Heading ext 1"/>
    <w:basedOn w:val="Normal"/>
    <w:next w:val="Heading2"/>
    <w:uiPriority w:val="50"/>
    <w:qFormat/>
    <w:rsid w:val="004A1125"/>
    <w:pPr>
      <w:spacing w:before="240" w:after="0" w:line="240" w:lineRule="auto"/>
    </w:pPr>
    <w:rPr>
      <w:rFonts w:cstheme="minorHAnsi"/>
      <w:color w:val="000000" w:themeColor="text1"/>
      <w:sz w:val="24"/>
    </w:rPr>
  </w:style>
  <w:style w:type="character" w:customStyle="1" w:styleId="Heading2Char">
    <w:name w:val="Heading 2 Char"/>
    <w:basedOn w:val="DefaultParagraphFont"/>
    <w:link w:val="Heading2"/>
    <w:uiPriority w:val="9"/>
    <w:semiHidden/>
    <w:rsid w:val="004A112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C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38"/>
    <w:rPr>
      <w:rFonts w:ascii="Segoe UI" w:hAnsi="Segoe UI" w:cs="Segoe UI"/>
      <w:sz w:val="18"/>
      <w:szCs w:val="18"/>
    </w:rPr>
  </w:style>
  <w:style w:type="paragraph" w:styleId="Header">
    <w:name w:val="header"/>
    <w:basedOn w:val="Normal"/>
    <w:link w:val="HeaderChar"/>
    <w:uiPriority w:val="99"/>
    <w:unhideWhenUsed/>
    <w:rsid w:val="007C7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38"/>
  </w:style>
  <w:style w:type="paragraph" w:styleId="Footer">
    <w:name w:val="footer"/>
    <w:basedOn w:val="Normal"/>
    <w:link w:val="FooterChar"/>
    <w:uiPriority w:val="99"/>
    <w:unhideWhenUsed/>
    <w:rsid w:val="007C7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38"/>
  </w:style>
  <w:style w:type="paragraph" w:customStyle="1" w:styleId="MacPacTrailer">
    <w:name w:val="MacPac Trailer"/>
    <w:rsid w:val="007C7638"/>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7C7638"/>
    <w:rPr>
      <w:color w:val="808080"/>
    </w:rPr>
  </w:style>
  <w:style w:type="paragraph" w:styleId="Revision">
    <w:name w:val="Revision"/>
    <w:hidden/>
    <w:uiPriority w:val="99"/>
    <w:semiHidden/>
    <w:rsid w:val="009E6866"/>
    <w:pPr>
      <w:spacing w:after="0" w:line="240" w:lineRule="auto"/>
    </w:pPr>
  </w:style>
  <w:style w:type="paragraph" w:styleId="FootnoteText">
    <w:name w:val="footnote text"/>
    <w:basedOn w:val="Normal"/>
    <w:link w:val="FootnoteTextChar"/>
    <w:uiPriority w:val="99"/>
    <w:semiHidden/>
    <w:unhideWhenUsed/>
    <w:rsid w:val="00C112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2ED"/>
    <w:rPr>
      <w:sz w:val="20"/>
      <w:szCs w:val="20"/>
    </w:rPr>
  </w:style>
  <w:style w:type="character" w:styleId="FootnoteReference">
    <w:name w:val="footnote reference"/>
    <w:basedOn w:val="DefaultParagraphFont"/>
    <w:uiPriority w:val="99"/>
    <w:semiHidden/>
    <w:unhideWhenUsed/>
    <w:rsid w:val="00C112ED"/>
    <w:rPr>
      <w:vertAlign w:val="superscript"/>
    </w:rPr>
  </w:style>
  <w:style w:type="paragraph" w:styleId="ListParagraph">
    <w:name w:val="List Paragraph"/>
    <w:basedOn w:val="Normal"/>
    <w:uiPriority w:val="34"/>
    <w:qFormat/>
    <w:rsid w:val="00D21A98"/>
    <w:pPr>
      <w:ind w:left="720"/>
      <w:contextualSpacing/>
    </w:pPr>
  </w:style>
  <w:style w:type="paragraph" w:customStyle="1" w:styleId="Default">
    <w:name w:val="Default"/>
    <w:rsid w:val="00810163"/>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UnresolvedMention1">
    <w:name w:val="Unresolved Mention1"/>
    <w:basedOn w:val="DefaultParagraphFont"/>
    <w:uiPriority w:val="99"/>
    <w:semiHidden/>
    <w:unhideWhenUsed/>
    <w:rsid w:val="003279FA"/>
    <w:rPr>
      <w:color w:val="605E5C"/>
      <w:shd w:val="clear" w:color="auto" w:fill="E1DFDD"/>
    </w:rPr>
  </w:style>
  <w:style w:type="paragraph" w:customStyle="1" w:styleId="xmsonormal">
    <w:name w:val="x_msonormal"/>
    <w:basedOn w:val="Normal"/>
    <w:rsid w:val="00303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5224">
      <w:bodyDiv w:val="1"/>
      <w:marLeft w:val="0"/>
      <w:marRight w:val="0"/>
      <w:marTop w:val="0"/>
      <w:marBottom w:val="0"/>
      <w:divBdr>
        <w:top w:val="none" w:sz="0" w:space="0" w:color="auto"/>
        <w:left w:val="none" w:sz="0" w:space="0" w:color="auto"/>
        <w:bottom w:val="none" w:sz="0" w:space="0" w:color="auto"/>
        <w:right w:val="none" w:sz="0" w:space="0" w:color="auto"/>
      </w:divBdr>
    </w:div>
    <w:div w:id="218978569">
      <w:bodyDiv w:val="1"/>
      <w:marLeft w:val="0"/>
      <w:marRight w:val="0"/>
      <w:marTop w:val="0"/>
      <w:marBottom w:val="0"/>
      <w:divBdr>
        <w:top w:val="none" w:sz="0" w:space="0" w:color="auto"/>
        <w:left w:val="none" w:sz="0" w:space="0" w:color="auto"/>
        <w:bottom w:val="none" w:sz="0" w:space="0" w:color="auto"/>
        <w:right w:val="none" w:sz="0" w:space="0" w:color="auto"/>
      </w:divBdr>
    </w:div>
    <w:div w:id="265845943">
      <w:bodyDiv w:val="1"/>
      <w:marLeft w:val="0"/>
      <w:marRight w:val="0"/>
      <w:marTop w:val="0"/>
      <w:marBottom w:val="0"/>
      <w:divBdr>
        <w:top w:val="none" w:sz="0" w:space="0" w:color="auto"/>
        <w:left w:val="none" w:sz="0" w:space="0" w:color="auto"/>
        <w:bottom w:val="none" w:sz="0" w:space="0" w:color="auto"/>
        <w:right w:val="none" w:sz="0" w:space="0" w:color="auto"/>
      </w:divBdr>
    </w:div>
    <w:div w:id="698512099">
      <w:bodyDiv w:val="1"/>
      <w:marLeft w:val="0"/>
      <w:marRight w:val="0"/>
      <w:marTop w:val="0"/>
      <w:marBottom w:val="0"/>
      <w:divBdr>
        <w:top w:val="none" w:sz="0" w:space="0" w:color="auto"/>
        <w:left w:val="none" w:sz="0" w:space="0" w:color="auto"/>
        <w:bottom w:val="none" w:sz="0" w:space="0" w:color="auto"/>
        <w:right w:val="none" w:sz="0" w:space="0" w:color="auto"/>
      </w:divBdr>
    </w:div>
    <w:div w:id="969238256">
      <w:bodyDiv w:val="1"/>
      <w:marLeft w:val="0"/>
      <w:marRight w:val="0"/>
      <w:marTop w:val="0"/>
      <w:marBottom w:val="0"/>
      <w:divBdr>
        <w:top w:val="none" w:sz="0" w:space="0" w:color="auto"/>
        <w:left w:val="none" w:sz="0" w:space="0" w:color="auto"/>
        <w:bottom w:val="none" w:sz="0" w:space="0" w:color="auto"/>
        <w:right w:val="none" w:sz="0" w:space="0" w:color="auto"/>
      </w:divBdr>
    </w:div>
    <w:div w:id="975372777">
      <w:bodyDiv w:val="1"/>
      <w:marLeft w:val="0"/>
      <w:marRight w:val="0"/>
      <w:marTop w:val="0"/>
      <w:marBottom w:val="0"/>
      <w:divBdr>
        <w:top w:val="none" w:sz="0" w:space="0" w:color="auto"/>
        <w:left w:val="none" w:sz="0" w:space="0" w:color="auto"/>
        <w:bottom w:val="none" w:sz="0" w:space="0" w:color="auto"/>
        <w:right w:val="none" w:sz="0" w:space="0" w:color="auto"/>
      </w:divBdr>
    </w:div>
    <w:div w:id="1345479484">
      <w:bodyDiv w:val="1"/>
      <w:marLeft w:val="0"/>
      <w:marRight w:val="0"/>
      <w:marTop w:val="0"/>
      <w:marBottom w:val="0"/>
      <w:divBdr>
        <w:top w:val="none" w:sz="0" w:space="0" w:color="auto"/>
        <w:left w:val="none" w:sz="0" w:space="0" w:color="auto"/>
        <w:bottom w:val="none" w:sz="0" w:space="0" w:color="auto"/>
        <w:right w:val="none" w:sz="0" w:space="0" w:color="auto"/>
      </w:divBdr>
    </w:div>
    <w:div w:id="1544322647">
      <w:bodyDiv w:val="1"/>
      <w:marLeft w:val="0"/>
      <w:marRight w:val="0"/>
      <w:marTop w:val="0"/>
      <w:marBottom w:val="0"/>
      <w:divBdr>
        <w:top w:val="none" w:sz="0" w:space="0" w:color="auto"/>
        <w:left w:val="none" w:sz="0" w:space="0" w:color="auto"/>
        <w:bottom w:val="none" w:sz="0" w:space="0" w:color="auto"/>
        <w:right w:val="none" w:sz="0" w:space="0" w:color="auto"/>
      </w:divBdr>
      <w:divsChild>
        <w:div w:id="1475677514">
          <w:marLeft w:val="0"/>
          <w:marRight w:val="0"/>
          <w:marTop w:val="0"/>
          <w:marBottom w:val="0"/>
          <w:divBdr>
            <w:top w:val="none" w:sz="0" w:space="0" w:color="auto"/>
            <w:left w:val="none" w:sz="0" w:space="0" w:color="auto"/>
            <w:bottom w:val="none" w:sz="0" w:space="0" w:color="auto"/>
            <w:right w:val="none" w:sz="0" w:space="0" w:color="auto"/>
          </w:divBdr>
          <w:divsChild>
            <w:div w:id="1185631920">
              <w:marLeft w:val="0"/>
              <w:marRight w:val="0"/>
              <w:marTop w:val="0"/>
              <w:marBottom w:val="0"/>
              <w:divBdr>
                <w:top w:val="none" w:sz="0" w:space="0" w:color="auto"/>
                <w:left w:val="none" w:sz="0" w:space="0" w:color="auto"/>
                <w:bottom w:val="none" w:sz="0" w:space="0" w:color="auto"/>
                <w:right w:val="none" w:sz="0" w:space="0" w:color="auto"/>
              </w:divBdr>
              <w:divsChild>
                <w:div w:id="11831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zin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41241-12EB-427C-A727-87EA27D3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1299</Words>
  <Characters>7405</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14 - NZC - News Release re RCF Private Placement (December 2021) (D0302486-7).DOCX</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 NZC - News Release re RCF Private Placement (December 2021) (D0302486-7).DOCX</dc:title>
  <dc:subject/>
  <dc:creator>Christine Marks</dc:creator>
  <cp:keywords/>
  <dc:description/>
  <cp:lastModifiedBy>katherinepryde@gmail.com</cp:lastModifiedBy>
  <cp:revision>2</cp:revision>
  <cp:lastPrinted>2021-12-09T20:19:00Z</cp:lastPrinted>
  <dcterms:created xsi:type="dcterms:W3CDTF">2021-12-12T22:59:00Z</dcterms:created>
  <dcterms:modified xsi:type="dcterms:W3CDTF">2021-12-12T22:59:00Z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